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EF4E" w14:textId="4AB39630" w:rsidR="00B91803" w:rsidRDefault="00B91803" w:rsidP="0055656A">
      <w:pPr>
        <w:spacing w:line="288" w:lineRule="auto"/>
        <w:jc w:val="right"/>
        <w:rPr>
          <w:rFonts w:ascii="Arial" w:hAnsi="Arial" w:cs="Arial"/>
          <w:sz w:val="20"/>
          <w:szCs w:val="20"/>
        </w:rPr>
      </w:pPr>
    </w:p>
    <w:p w14:paraId="73A5EA51" w14:textId="77777777" w:rsidR="00DD0C7E" w:rsidRPr="0055656A" w:rsidRDefault="00DD0C7E" w:rsidP="00DD0C7E">
      <w:pPr>
        <w:spacing w:line="288" w:lineRule="auto"/>
        <w:jc w:val="right"/>
        <w:rPr>
          <w:rFonts w:ascii="Arial" w:hAnsi="Arial" w:cs="Arial"/>
          <w:sz w:val="20"/>
          <w:szCs w:val="20"/>
        </w:rPr>
      </w:pPr>
      <w:r>
        <w:rPr>
          <w:rFonts w:ascii="Arial" w:hAnsi="Arial" w:cs="Arial"/>
          <w:sz w:val="20"/>
        </w:rPr>
        <w:t>xx de YY de 2022</w:t>
      </w:r>
    </w:p>
    <w:p w14:paraId="27E27A2F" w14:textId="77777777" w:rsidR="006D3C81" w:rsidRPr="0055656A" w:rsidRDefault="006D3C81" w:rsidP="0055656A">
      <w:pPr>
        <w:spacing w:line="288" w:lineRule="auto"/>
        <w:rPr>
          <w:rFonts w:ascii="Arial" w:hAnsi="Arial" w:cs="Arial"/>
          <w:sz w:val="20"/>
          <w:szCs w:val="20"/>
        </w:rPr>
      </w:pPr>
    </w:p>
    <w:p w14:paraId="36763544" w14:textId="77777777" w:rsidR="006D3C81" w:rsidRPr="0055656A" w:rsidRDefault="006D3C81" w:rsidP="0055656A">
      <w:pPr>
        <w:spacing w:line="288" w:lineRule="auto"/>
        <w:rPr>
          <w:rFonts w:ascii="Arial" w:hAnsi="Arial" w:cs="Arial"/>
          <w:sz w:val="20"/>
          <w:szCs w:val="20"/>
        </w:rPr>
      </w:pPr>
    </w:p>
    <w:p w14:paraId="6FE64386" w14:textId="777C2137" w:rsidR="006D3C81" w:rsidRPr="0055656A" w:rsidRDefault="00E7663B" w:rsidP="0055656A">
      <w:pPr>
        <w:spacing w:line="288" w:lineRule="auto"/>
        <w:rPr>
          <w:rFonts w:ascii="Arial" w:hAnsi="Arial" w:cs="Arial"/>
          <w:sz w:val="20"/>
          <w:szCs w:val="20"/>
        </w:rPr>
      </w:pPr>
      <w:r>
        <w:rPr>
          <w:rFonts w:ascii="Arial" w:hAnsi="Arial" w:cs="Arial"/>
          <w:sz w:val="20"/>
        </w:rPr>
        <w:t>Cajas exentas de halógenos</w:t>
      </w:r>
      <w:r w:rsidR="00EA5EE9">
        <w:rPr>
          <w:rFonts w:ascii="Arial" w:hAnsi="Arial" w:cs="Arial"/>
          <w:sz w:val="20"/>
        </w:rPr>
        <w:t xml:space="preserve"> para equipos electrónicos</w:t>
      </w:r>
    </w:p>
    <w:p w14:paraId="6FB95301" w14:textId="52863FCE" w:rsidR="006D3C81" w:rsidRPr="0055656A" w:rsidRDefault="00D74251" w:rsidP="0055656A">
      <w:pPr>
        <w:spacing w:line="288" w:lineRule="auto"/>
        <w:rPr>
          <w:rFonts w:ascii="Arial" w:hAnsi="Arial" w:cs="Arial"/>
          <w:sz w:val="20"/>
          <w:szCs w:val="20"/>
        </w:rPr>
      </w:pPr>
      <w:r>
        <w:rPr>
          <w:rFonts w:ascii="Arial" w:hAnsi="Arial" w:cs="Arial"/>
          <w:b/>
          <w:sz w:val="20"/>
        </w:rPr>
        <w:t>Las cajas industriales Bocube convencen por el uso exclusivo de materiales listados por la UL</w:t>
      </w:r>
    </w:p>
    <w:p w14:paraId="33B239C9" w14:textId="77777777" w:rsidR="006D3C81" w:rsidRDefault="006D3C81" w:rsidP="0055656A">
      <w:pPr>
        <w:spacing w:line="288" w:lineRule="auto"/>
        <w:rPr>
          <w:rFonts w:ascii="Arial" w:hAnsi="Arial" w:cs="Arial"/>
          <w:sz w:val="20"/>
          <w:szCs w:val="20"/>
        </w:rPr>
      </w:pPr>
    </w:p>
    <w:p w14:paraId="575FA790" w14:textId="00F73AD0" w:rsidR="00DA7D08" w:rsidRPr="00DA7D08" w:rsidRDefault="00D74251" w:rsidP="0055656A">
      <w:pPr>
        <w:spacing w:line="288" w:lineRule="auto"/>
        <w:rPr>
          <w:rFonts w:ascii="Arial" w:hAnsi="Arial" w:cs="Arial"/>
          <w:b/>
          <w:sz w:val="20"/>
          <w:szCs w:val="20"/>
        </w:rPr>
      </w:pPr>
      <w:r>
        <w:rPr>
          <w:rFonts w:ascii="Arial" w:hAnsi="Arial" w:cs="Arial"/>
          <w:b/>
          <w:sz w:val="20"/>
        </w:rPr>
        <w:t xml:space="preserve">Los componentes de las envolventes de la </w:t>
      </w:r>
      <w:hyperlink r:id="rId8" w:history="1">
        <w:r>
          <w:rPr>
            <w:rStyle w:val="Hyperlink"/>
            <w:rFonts w:ascii="Arial" w:hAnsi="Arial" w:cs="Arial"/>
            <w:b/>
            <w:sz w:val="20"/>
          </w:rPr>
          <w:t>innovadora serie Bocube</w:t>
        </w:r>
      </w:hyperlink>
      <w:r>
        <w:rPr>
          <w:rFonts w:ascii="Arial" w:hAnsi="Arial" w:cs="Arial"/>
          <w:b/>
          <w:sz w:val="20"/>
        </w:rPr>
        <w:t xml:space="preserve"> se fabrican utilizando exclusivamente materiales que satisfacen los estándares de seguridad UL y están exentos de halógenos. Esto se aplica asimismo a la junta de espuma de poliuretano. Con ello, todas y cada una de las cajas de plástico Bocube de </w:t>
      </w:r>
      <w:hyperlink r:id="rId9" w:history="1">
        <w:r>
          <w:rPr>
            <w:rStyle w:val="Hyperlink"/>
            <w:rFonts w:ascii="Arial" w:hAnsi="Arial" w:cs="Arial"/>
            <w:b/>
            <w:sz w:val="20"/>
          </w:rPr>
          <w:t>BOPLA</w:t>
        </w:r>
      </w:hyperlink>
      <w:r>
        <w:rPr>
          <w:rFonts w:ascii="Arial" w:hAnsi="Arial" w:cs="Arial"/>
          <w:b/>
          <w:sz w:val="20"/>
        </w:rPr>
        <w:t xml:space="preserve"> satisfacen los estándares más exigentes del sector. Las cajas Bocube de policarbonato satisfacen además la severa norma de protección contra incendios para </w:t>
      </w:r>
      <w:r w:rsidR="00500D03">
        <w:rPr>
          <w:rFonts w:ascii="Arial" w:hAnsi="Arial" w:cs="Arial"/>
          <w:b/>
          <w:sz w:val="20"/>
        </w:rPr>
        <w:t xml:space="preserve">vehículos de </w:t>
      </w:r>
      <w:r>
        <w:rPr>
          <w:rFonts w:ascii="Arial" w:hAnsi="Arial" w:cs="Arial"/>
          <w:b/>
          <w:sz w:val="20"/>
        </w:rPr>
        <w:t>ferrocarril EN 45545 y son idóneas para el uso a la intemperie según UL 746 C f1.</w:t>
      </w:r>
    </w:p>
    <w:p w14:paraId="0BAC2D76" w14:textId="77777777" w:rsidR="00DA7D08" w:rsidRPr="0055656A" w:rsidRDefault="00DA7D08" w:rsidP="0055656A">
      <w:pPr>
        <w:spacing w:line="288" w:lineRule="auto"/>
        <w:rPr>
          <w:rFonts w:ascii="Arial" w:hAnsi="Arial" w:cs="Arial"/>
          <w:sz w:val="20"/>
          <w:szCs w:val="20"/>
        </w:rPr>
      </w:pPr>
    </w:p>
    <w:p w14:paraId="7F9A3F17" w14:textId="0BD1AABE" w:rsidR="009F551E" w:rsidRDefault="009F551E" w:rsidP="00DA7D08">
      <w:pPr>
        <w:spacing w:line="288" w:lineRule="auto"/>
        <w:rPr>
          <w:rFonts w:ascii="Arial" w:hAnsi="Arial" w:cs="Arial"/>
          <w:sz w:val="20"/>
          <w:szCs w:val="20"/>
        </w:rPr>
      </w:pPr>
      <w:r>
        <w:rPr>
          <w:rFonts w:ascii="Arial" w:hAnsi="Arial" w:cs="Arial"/>
          <w:sz w:val="20"/>
        </w:rPr>
        <w:t xml:space="preserve">Las cajas BOPLA se fabrican utilizando casi exclusivamente materiales listados por la UL. </w:t>
      </w:r>
      <w:r w:rsidR="00DB07BC">
        <w:rPr>
          <w:rFonts w:ascii="Arial" w:hAnsi="Arial" w:cs="Arial"/>
          <w:sz w:val="20"/>
        </w:rPr>
        <w:t xml:space="preserve">Algo que, </w:t>
      </w:r>
      <w:r>
        <w:rPr>
          <w:rFonts w:ascii="Arial" w:hAnsi="Arial" w:cs="Arial"/>
          <w:sz w:val="20"/>
        </w:rPr>
        <w:t>como es natural</w:t>
      </w:r>
      <w:r w:rsidR="00DB07BC">
        <w:rPr>
          <w:rFonts w:ascii="Arial" w:hAnsi="Arial" w:cs="Arial"/>
          <w:sz w:val="20"/>
        </w:rPr>
        <w:t>,</w:t>
      </w:r>
      <w:r>
        <w:rPr>
          <w:rFonts w:ascii="Arial" w:hAnsi="Arial" w:cs="Arial"/>
          <w:sz w:val="20"/>
        </w:rPr>
        <w:t xml:space="preserve"> también </w:t>
      </w:r>
      <w:r w:rsidR="00DB07BC">
        <w:rPr>
          <w:rFonts w:ascii="Arial" w:hAnsi="Arial" w:cs="Arial"/>
          <w:sz w:val="20"/>
        </w:rPr>
        <w:t xml:space="preserve">cumple </w:t>
      </w:r>
      <w:r>
        <w:rPr>
          <w:rFonts w:ascii="Arial" w:hAnsi="Arial" w:cs="Arial"/>
          <w:sz w:val="20"/>
        </w:rPr>
        <w:t xml:space="preserve">la caja industrial Bocube en sus variantes </w:t>
      </w:r>
      <w:r w:rsidR="00DB07BC">
        <w:rPr>
          <w:rFonts w:ascii="Arial" w:hAnsi="Arial" w:cs="Arial"/>
          <w:sz w:val="20"/>
        </w:rPr>
        <w:t xml:space="preserve">de </w:t>
      </w:r>
      <w:r>
        <w:rPr>
          <w:rFonts w:ascii="Arial" w:hAnsi="Arial" w:cs="Arial"/>
          <w:sz w:val="20"/>
        </w:rPr>
        <w:t xml:space="preserve">ABS y policarbonato. Una vez finalizada con éxito la certificación del material según UL50, esto se aplica también a la junta inyectada de espuma de poliuretano. </w:t>
      </w:r>
    </w:p>
    <w:p w14:paraId="7472B7F7" w14:textId="27EBFAEF" w:rsidR="00A92A22" w:rsidRDefault="00DA151D" w:rsidP="00DA7D08">
      <w:pPr>
        <w:spacing w:line="288" w:lineRule="auto"/>
        <w:rPr>
          <w:rFonts w:ascii="Arial" w:hAnsi="Arial" w:cs="Arial"/>
          <w:sz w:val="20"/>
          <w:szCs w:val="20"/>
        </w:rPr>
      </w:pPr>
      <w:r>
        <w:rPr>
          <w:rFonts w:ascii="Arial" w:hAnsi="Arial" w:cs="Arial"/>
          <w:sz w:val="20"/>
        </w:rPr>
        <w:t xml:space="preserve">Los modelos Bocube de policarbonato lideran el segmento por su seguridad y su diseño robusto. Su material es considerado pirorretardante y autoextinguible según la norma relevante en todo el mundo para la evaluación de las propiedades pirorretardantes de plásticos, la UL 94, y está incluida en la </w:t>
      </w:r>
      <w:hyperlink r:id="rId10" w:history="1">
        <w:r>
          <w:rPr>
            <w:rStyle w:val="Hyperlink"/>
            <w:rFonts w:ascii="Arial" w:hAnsi="Arial" w:cs="Arial"/>
            <w:sz w:val="20"/>
          </w:rPr>
          <w:t>categoría de protección ignífuga UL94 V-0</w:t>
        </w:r>
      </w:hyperlink>
      <w:r>
        <w:rPr>
          <w:rFonts w:ascii="Arial" w:hAnsi="Arial" w:cs="Arial"/>
          <w:sz w:val="20"/>
        </w:rPr>
        <w:t xml:space="preserve">. «Al mismo tiempo, es capaz incluso de satisfacer las exigencias especialmente severas de la norma de protección contra incendios para vehículos de ferrocarril EN 45545 para el uso en la clase más alta de peligrosidad HL3», explica Mathias Bünte, gerente de producto de BOPLA. </w:t>
      </w:r>
    </w:p>
    <w:p w14:paraId="12DE0F91" w14:textId="73D1B050" w:rsidR="00DC54F3" w:rsidRDefault="00A92A22" w:rsidP="00DA7D08">
      <w:pPr>
        <w:spacing w:line="288" w:lineRule="auto"/>
        <w:rPr>
          <w:rFonts w:ascii="Arial" w:hAnsi="Arial" w:cs="Arial"/>
          <w:sz w:val="20"/>
          <w:szCs w:val="20"/>
        </w:rPr>
      </w:pPr>
      <w:r>
        <w:rPr>
          <w:rFonts w:ascii="Arial" w:hAnsi="Arial" w:cs="Arial"/>
          <w:sz w:val="20"/>
        </w:rPr>
        <w:t xml:space="preserve">Las versiones Bocube de policarbonato superan </w:t>
      </w:r>
      <w:r w:rsidR="005E19C2">
        <w:rPr>
          <w:rFonts w:ascii="Arial" w:hAnsi="Arial" w:cs="Arial"/>
          <w:sz w:val="20"/>
        </w:rPr>
        <w:t xml:space="preserve">incluso </w:t>
      </w:r>
      <w:r>
        <w:rPr>
          <w:rFonts w:ascii="Arial" w:hAnsi="Arial" w:cs="Arial"/>
          <w:sz w:val="20"/>
        </w:rPr>
        <w:t xml:space="preserve">estas propiedades. Estas envolventes son además especialmente </w:t>
      </w:r>
      <w:hyperlink r:id="rId11" w:history="1">
        <w:r>
          <w:rPr>
            <w:rStyle w:val="Hyperlink"/>
            <w:rFonts w:ascii="Arial" w:hAnsi="Arial" w:cs="Arial"/>
            <w:sz w:val="20"/>
          </w:rPr>
          <w:t>idóneas para el uso a la intemperie según la norma UL 746 C f1.</w:t>
        </w:r>
      </w:hyperlink>
      <w:r>
        <w:rPr>
          <w:rFonts w:ascii="Arial" w:hAnsi="Arial" w:cs="Arial"/>
          <w:sz w:val="20"/>
        </w:rPr>
        <w:t xml:space="preserve"> Esto signfica que su material ha superado con excelentes resultados todos los ensayos relevantes de protección ignífuga y ensayos mecánicos, incluso después de una exposición al envejecimiento artificial (1.000 horas de exposición a la luz UV e inmersión durante siste días en agua caliente a 70 °C).</w:t>
      </w:r>
    </w:p>
    <w:p w14:paraId="21426837" w14:textId="0BA4BDCE" w:rsidR="00905DBB" w:rsidRDefault="00905DBB" w:rsidP="00DA7D08">
      <w:pPr>
        <w:spacing w:line="288" w:lineRule="auto"/>
        <w:rPr>
          <w:rFonts w:ascii="Arial" w:hAnsi="Arial" w:cs="Arial"/>
          <w:sz w:val="20"/>
          <w:szCs w:val="20"/>
        </w:rPr>
      </w:pPr>
    </w:p>
    <w:p w14:paraId="4A1247AD" w14:textId="6AA6A6AE" w:rsidR="00905DBB" w:rsidRPr="00905DBB" w:rsidRDefault="00EE2898" w:rsidP="00DA7D08">
      <w:pPr>
        <w:spacing w:line="288" w:lineRule="auto"/>
        <w:rPr>
          <w:rFonts w:ascii="Arial" w:hAnsi="Arial" w:cs="Arial"/>
          <w:b/>
          <w:bCs/>
          <w:sz w:val="20"/>
          <w:szCs w:val="20"/>
        </w:rPr>
      </w:pPr>
      <w:r>
        <w:rPr>
          <w:rFonts w:ascii="Arial" w:hAnsi="Arial" w:cs="Arial"/>
          <w:b/>
          <w:sz w:val="20"/>
        </w:rPr>
        <w:t>Cajas Bocube, innovadoras y variadas</w:t>
      </w:r>
    </w:p>
    <w:p w14:paraId="04DC2EAB" w14:textId="260AF022" w:rsidR="00D8790A" w:rsidRDefault="00661483" w:rsidP="00DA7D08">
      <w:pPr>
        <w:spacing w:line="288" w:lineRule="auto"/>
        <w:rPr>
          <w:rFonts w:ascii="Arial" w:hAnsi="Arial" w:cs="Arial"/>
          <w:sz w:val="20"/>
          <w:szCs w:val="20"/>
        </w:rPr>
      </w:pPr>
      <w:r>
        <w:rPr>
          <w:rFonts w:ascii="Arial" w:hAnsi="Arial" w:cs="Arial"/>
          <w:sz w:val="20"/>
        </w:rPr>
        <w:t>Las robustas cajas industriales de la serie Bocube convencen por su estudiada concepción mecánic</w:t>
      </w:r>
      <w:r w:rsidR="00422E7D">
        <w:rPr>
          <w:rFonts w:ascii="Arial" w:hAnsi="Arial" w:cs="Arial"/>
          <w:sz w:val="20"/>
        </w:rPr>
        <w:t>a</w:t>
      </w:r>
      <w:r>
        <w:rPr>
          <w:rFonts w:ascii="Arial" w:hAnsi="Arial" w:cs="Arial"/>
          <w:sz w:val="20"/>
        </w:rPr>
        <w:t xml:space="preserve"> y su diseño elegante, con cierres de bisagra en colores de contraste. Las tapas imperdibles, en versiones opacas o transparentes, se montan con ayuda de exclusivos cierres de bisagra exentos de tornillos, protegidos por patente. Esto permite bascular la tapa, y también es posible elegir libremente en lado de colocación de las bisagras. </w:t>
      </w:r>
    </w:p>
    <w:p w14:paraId="2E605D0D" w14:textId="0FA31EA3" w:rsidR="00223267" w:rsidRPr="00625298" w:rsidRDefault="009F4627" w:rsidP="00DA7D08">
      <w:pPr>
        <w:spacing w:line="288" w:lineRule="auto"/>
        <w:rPr>
          <w:rFonts w:ascii="Arial" w:hAnsi="Arial" w:cs="Arial"/>
          <w:sz w:val="20"/>
          <w:szCs w:val="20"/>
        </w:rPr>
      </w:pPr>
      <w:r>
        <w:rPr>
          <w:rFonts w:ascii="Arial" w:hAnsi="Arial" w:cs="Arial"/>
          <w:sz w:val="20"/>
        </w:rPr>
        <w:t xml:space="preserve">Las envolventes Bocube alcanzan la clase de protección IP 68, incluso en </w:t>
      </w:r>
      <w:r w:rsidR="009B07FB">
        <w:rPr>
          <w:rFonts w:ascii="Arial" w:hAnsi="Arial" w:cs="Arial"/>
          <w:sz w:val="20"/>
        </w:rPr>
        <w:t xml:space="preserve">su </w:t>
      </w:r>
      <w:r>
        <w:rPr>
          <w:rFonts w:ascii="Arial" w:hAnsi="Arial" w:cs="Arial"/>
          <w:sz w:val="20"/>
        </w:rPr>
        <w:t xml:space="preserve">ejecución de serie. Dado que se montan exclusivamente piezas de plástico de un solo material, sin </w:t>
      </w:r>
      <w:r w:rsidR="00F51A46">
        <w:rPr>
          <w:rFonts w:ascii="Arial" w:hAnsi="Arial" w:cs="Arial"/>
          <w:sz w:val="20"/>
        </w:rPr>
        <w:t xml:space="preserve">componentes </w:t>
      </w:r>
      <w:r>
        <w:rPr>
          <w:rFonts w:ascii="Arial" w:hAnsi="Arial" w:cs="Arial"/>
          <w:sz w:val="20"/>
        </w:rPr>
        <w:t>metálic</w:t>
      </w:r>
      <w:r w:rsidR="00F51A46">
        <w:rPr>
          <w:rFonts w:ascii="Arial" w:hAnsi="Arial" w:cs="Arial"/>
          <w:sz w:val="20"/>
        </w:rPr>
        <w:t>o</w:t>
      </w:r>
      <w:r>
        <w:rPr>
          <w:rFonts w:ascii="Arial" w:hAnsi="Arial" w:cs="Arial"/>
          <w:sz w:val="20"/>
        </w:rPr>
        <w:t>s incluid</w:t>
      </w:r>
      <w:r w:rsidR="00F51A46">
        <w:rPr>
          <w:rFonts w:ascii="Arial" w:hAnsi="Arial" w:cs="Arial"/>
          <w:sz w:val="20"/>
        </w:rPr>
        <w:t>o</w:t>
      </w:r>
      <w:r>
        <w:rPr>
          <w:rFonts w:ascii="Arial" w:hAnsi="Arial" w:cs="Arial"/>
          <w:sz w:val="20"/>
        </w:rPr>
        <w:t>s por inyección, resulta muy sencillo reciclar las envolventes al fin</w:t>
      </w:r>
      <w:r w:rsidR="006826B5">
        <w:rPr>
          <w:rFonts w:ascii="Arial" w:hAnsi="Arial" w:cs="Arial"/>
          <w:sz w:val="20"/>
        </w:rPr>
        <w:t>al</w:t>
      </w:r>
      <w:r>
        <w:rPr>
          <w:rFonts w:ascii="Arial" w:hAnsi="Arial" w:cs="Arial"/>
          <w:sz w:val="20"/>
        </w:rPr>
        <w:t xml:space="preserve"> de su ciclo de vida. La serie de cajas Bocube consta de más de 25 tamaños y 150 posibilidades estándar de combinación. Si se desea, es posible configurar otros tamaños y combinaciones especiales. </w:t>
      </w:r>
    </w:p>
    <w:p w14:paraId="54D26C0B" w14:textId="77777777" w:rsidR="00DA7D08" w:rsidRPr="00625298" w:rsidRDefault="00DA7D08" w:rsidP="00DA7D08">
      <w:pPr>
        <w:spacing w:line="288" w:lineRule="auto"/>
        <w:rPr>
          <w:rFonts w:ascii="Arial" w:hAnsi="Arial" w:cs="Arial"/>
          <w:sz w:val="20"/>
          <w:szCs w:val="20"/>
        </w:rPr>
      </w:pPr>
    </w:p>
    <w:p w14:paraId="0A058E3D" w14:textId="037E4ECA" w:rsidR="00503EE7" w:rsidRDefault="00503EE7" w:rsidP="00503EE7">
      <w:pPr>
        <w:spacing w:line="288" w:lineRule="auto"/>
        <w:rPr>
          <w:rFonts w:ascii="Arial" w:hAnsi="Arial" w:cs="Arial"/>
          <w:sz w:val="20"/>
          <w:szCs w:val="20"/>
        </w:rPr>
      </w:pPr>
      <w:r>
        <w:rPr>
          <w:rFonts w:ascii="Arial" w:hAnsi="Arial" w:cs="Arial"/>
          <w:sz w:val="20"/>
          <w:szCs w:val="20"/>
        </w:rPr>
        <w:t>(</w:t>
      </w:r>
      <w:r>
        <w:rPr>
          <w:rFonts w:ascii="Arial" w:hAnsi="Arial" w:cs="Arial"/>
          <w:sz w:val="20"/>
          <w:szCs w:val="20"/>
        </w:rPr>
        <w:t>2.950</w:t>
      </w:r>
      <w:r>
        <w:rPr>
          <w:rFonts w:ascii="Arial" w:hAnsi="Arial" w:cs="Arial"/>
          <w:sz w:val="20"/>
          <w:szCs w:val="20"/>
        </w:rPr>
        <w:t xml:space="preserve"> </w:t>
      </w:r>
      <w:r>
        <w:rPr>
          <w:rFonts w:ascii="Arial" w:hAnsi="Arial" w:cs="Arial"/>
          <w:sz w:val="20"/>
        </w:rPr>
        <w:t>caracteres, incluyendo espacios en blanco</w:t>
      </w:r>
      <w:r>
        <w:rPr>
          <w:rFonts w:ascii="Arial" w:hAnsi="Arial" w:cs="Arial"/>
          <w:sz w:val="20"/>
          <w:szCs w:val="20"/>
        </w:rPr>
        <w:t>)</w:t>
      </w:r>
    </w:p>
    <w:p w14:paraId="62CD1456" w14:textId="5A3D91B1" w:rsidR="007644EE" w:rsidRDefault="007644EE" w:rsidP="0055656A">
      <w:pPr>
        <w:spacing w:line="288" w:lineRule="auto"/>
        <w:rPr>
          <w:rFonts w:ascii="Arial" w:hAnsi="Arial" w:cs="Arial"/>
          <w:b/>
          <w:sz w:val="20"/>
          <w:szCs w:val="20"/>
        </w:rPr>
      </w:pPr>
    </w:p>
    <w:p w14:paraId="5084F2E9" w14:textId="77777777" w:rsidR="00503EE7" w:rsidRPr="00F14376" w:rsidRDefault="00503EE7" w:rsidP="00503EE7">
      <w:pPr>
        <w:spacing w:line="288" w:lineRule="auto"/>
        <w:rPr>
          <w:rFonts w:ascii="Arial" w:hAnsi="Arial" w:cs="Arial"/>
          <w:b/>
          <w:sz w:val="20"/>
          <w:szCs w:val="20"/>
        </w:rPr>
      </w:pPr>
      <w:r>
        <w:rPr>
          <w:rFonts w:ascii="Arial" w:hAnsi="Arial" w:cs="Arial"/>
          <w:b/>
          <w:sz w:val="20"/>
        </w:rPr>
        <w:lastRenderedPageBreak/>
        <w:t>Acerca de BOPLA</w:t>
      </w:r>
    </w:p>
    <w:p w14:paraId="1767AFC3" w14:textId="77777777" w:rsidR="00503EE7" w:rsidRPr="00007EDC" w:rsidRDefault="00503EE7" w:rsidP="00503EE7">
      <w:pPr>
        <w:spacing w:line="288" w:lineRule="auto"/>
        <w:rPr>
          <w:rFonts w:ascii="Arial" w:hAnsi="Arial" w:cs="Arial"/>
          <w:sz w:val="20"/>
          <w:szCs w:val="20"/>
        </w:rPr>
      </w:pPr>
      <w:r>
        <w:rPr>
          <w:rFonts w:ascii="Arial" w:hAnsi="Arial" w:cs="Arial"/>
          <w:sz w:val="20"/>
        </w:rPr>
        <w:t>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campos de aplicación, se utilizan por ejemplo en la técnica de medición, control y regulación, en la construcción de maquinaria e instalaciones, así como en la técnica médica y la técnica ferroviaria. </w:t>
      </w:r>
    </w:p>
    <w:p w14:paraId="7FCE7A84" w14:textId="77777777" w:rsidR="00503EE7" w:rsidRPr="00007EDC" w:rsidRDefault="00503EE7" w:rsidP="00503EE7">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2F3F2060" w14:textId="77777777" w:rsidR="00503EE7" w:rsidRDefault="00503EE7" w:rsidP="00503EE7">
      <w:pPr>
        <w:spacing w:line="288" w:lineRule="auto"/>
        <w:rPr>
          <w:rFonts w:ascii="Arial" w:hAnsi="Arial" w:cs="Arial"/>
          <w:sz w:val="20"/>
          <w:szCs w:val="20"/>
        </w:rPr>
      </w:pPr>
      <w:r>
        <w:rPr>
          <w:rFonts w:ascii="Arial" w:hAnsi="Arial" w:cs="Arial"/>
          <w:sz w:val="20"/>
        </w:rPr>
        <w:t xml:space="preserve">Junto a la fabricación de envolventes individuales basadas en las especificaciones de los clientes, BOPLA es conocida por una cartera extraordinariamente amplia de productos estándar disponibles en almacén. Por todo ello, somos una de las marcas líderes a nivel internacional en la técnica de cajas y envolventes, y estamos a disposición de nuestros clientes en todo el mundo para asesorarles y ayudarles en la realización de proyectos de desarrollo. </w:t>
      </w:r>
    </w:p>
    <w:p w14:paraId="23C9D79F" w14:textId="77777777" w:rsidR="00503EE7" w:rsidRPr="00630802" w:rsidRDefault="00503EE7" w:rsidP="00503EE7">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1161B2F3" w14:textId="77777777" w:rsidR="00503EE7" w:rsidRPr="009F6F6B" w:rsidRDefault="00503EE7" w:rsidP="00503EE7">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6C1AD2FD" w14:textId="77777777" w:rsidR="00503EE7" w:rsidRPr="00F14376" w:rsidRDefault="00503EE7" w:rsidP="00503EE7">
      <w:pPr>
        <w:spacing w:line="288" w:lineRule="auto"/>
        <w:rPr>
          <w:rFonts w:ascii="Arial" w:hAnsi="Arial" w:cs="Arial"/>
          <w:sz w:val="20"/>
          <w:szCs w:val="20"/>
        </w:rPr>
      </w:pPr>
      <w:r>
        <w:rPr>
          <w:rFonts w:ascii="Arial" w:hAnsi="Arial" w:cs="Arial"/>
          <w:sz w:val="20"/>
        </w:rPr>
        <w:t xml:space="preserve">Encontrarán más información en nuestra página web </w:t>
      </w:r>
      <w:hyperlink r:id="rId12" w:history="1">
        <w:r>
          <w:rPr>
            <w:rStyle w:val="Hyperlink"/>
            <w:rFonts w:ascii="Arial" w:hAnsi="Arial" w:cs="Arial"/>
            <w:sz w:val="20"/>
          </w:rPr>
          <w:t>www.bopla.de</w:t>
        </w:r>
      </w:hyperlink>
      <w:r>
        <w:rPr>
          <w:rFonts w:ascii="Arial" w:hAnsi="Arial" w:cs="Arial"/>
          <w:sz w:val="20"/>
        </w:rPr>
        <w:t>.</w:t>
      </w:r>
    </w:p>
    <w:p w14:paraId="5C1D3563" w14:textId="77777777" w:rsidR="00503EE7" w:rsidRPr="0055656A" w:rsidRDefault="00503EE7" w:rsidP="00503EE7">
      <w:pPr>
        <w:spacing w:line="288" w:lineRule="auto"/>
        <w:rPr>
          <w:rFonts w:ascii="Arial" w:hAnsi="Arial" w:cs="Arial"/>
          <w:sz w:val="20"/>
          <w:szCs w:val="20"/>
        </w:rPr>
      </w:pPr>
    </w:p>
    <w:p w14:paraId="6795EC02" w14:textId="77777777" w:rsidR="00503EE7" w:rsidRPr="0055656A" w:rsidRDefault="00503EE7" w:rsidP="00503EE7">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Pr>
          <w:rFonts w:ascii="Arial" w:hAnsi="Arial" w:cs="Arial"/>
          <w:sz w:val="20"/>
        </w:rPr>
        <w:t>969 caracteres, incluyendo espacios en blanco</w:t>
      </w:r>
      <w:r w:rsidRPr="0055656A">
        <w:rPr>
          <w:rFonts w:ascii="Arial" w:hAnsi="Arial" w:cs="Arial"/>
          <w:sz w:val="20"/>
          <w:szCs w:val="20"/>
        </w:rPr>
        <w:t>)</w:t>
      </w:r>
    </w:p>
    <w:p w14:paraId="7B6E3B9C" w14:textId="4EF1D2B9" w:rsidR="00503EE7" w:rsidRDefault="00503EE7" w:rsidP="0055656A">
      <w:pPr>
        <w:spacing w:line="288" w:lineRule="auto"/>
        <w:rPr>
          <w:rFonts w:ascii="Arial" w:hAnsi="Arial" w:cs="Arial"/>
          <w:b/>
          <w:sz w:val="20"/>
          <w:szCs w:val="20"/>
        </w:rPr>
      </w:pPr>
      <w:bookmarkStart w:id="0" w:name="_GoBack"/>
      <w:bookmarkEnd w:id="0"/>
    </w:p>
    <w:p w14:paraId="0C879C93" w14:textId="77777777" w:rsidR="00503EE7" w:rsidRPr="00B679A0" w:rsidRDefault="00503EE7" w:rsidP="00503EE7">
      <w:pPr>
        <w:spacing w:line="288" w:lineRule="auto"/>
        <w:rPr>
          <w:rFonts w:ascii="Arial" w:hAnsi="Arial" w:cs="Arial"/>
          <w:b/>
          <w:sz w:val="20"/>
          <w:szCs w:val="20"/>
        </w:rPr>
      </w:pPr>
      <w:r>
        <w:rPr>
          <w:rFonts w:ascii="Arial" w:hAnsi="Arial" w:cs="Arial"/>
          <w:b/>
          <w:sz w:val="20"/>
        </w:rPr>
        <w:t>Foto</w:t>
      </w:r>
    </w:p>
    <w:p w14:paraId="2E2DD135" w14:textId="77777777" w:rsidR="00503EE7" w:rsidRPr="00625298" w:rsidRDefault="00503EE7" w:rsidP="0055656A">
      <w:pPr>
        <w:spacing w:line="288" w:lineRule="auto"/>
        <w:rPr>
          <w:rFonts w:ascii="Arial" w:hAnsi="Arial" w:cs="Arial"/>
          <w:b/>
          <w:sz w:val="20"/>
          <w:szCs w:val="20"/>
        </w:rPr>
      </w:pPr>
    </w:p>
    <w:p w14:paraId="4CA81D9C" w14:textId="06C49F6A" w:rsidR="005F25C1" w:rsidRDefault="003E59E1" w:rsidP="0055656A">
      <w:pPr>
        <w:spacing w:line="288" w:lineRule="auto"/>
        <w:rPr>
          <w:rFonts w:ascii="Arial" w:hAnsi="Arial" w:cs="Arial"/>
          <w:sz w:val="20"/>
          <w:szCs w:val="20"/>
        </w:rPr>
      </w:pPr>
      <w:r>
        <w:rPr>
          <w:rFonts w:ascii="Arial" w:hAnsi="Arial" w:cs="Arial"/>
          <w:noProof/>
          <w:sz w:val="20"/>
        </w:rPr>
        <w:drawing>
          <wp:inline distT="0" distB="0" distL="0" distR="0" wp14:anchorId="40244DBF" wp14:editId="33C7C86D">
            <wp:extent cx="3223034" cy="2325773"/>
            <wp:effectExtent l="0" t="0" r="3175" b="0"/>
            <wp:docPr id="1" name="Grafik 1" descr="Ein Bild, das Tex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  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1668" cy="2332003"/>
                    </a:xfrm>
                    <a:prstGeom prst="rect">
                      <a:avLst/>
                    </a:prstGeom>
                  </pic:spPr>
                </pic:pic>
              </a:graphicData>
            </a:graphic>
          </wp:inline>
        </w:drawing>
      </w:r>
    </w:p>
    <w:p w14:paraId="6A2298F5" w14:textId="2A3E0D53" w:rsidR="003E59E1" w:rsidRPr="003E59E1" w:rsidRDefault="00503EE7" w:rsidP="003E59E1">
      <w:pPr>
        <w:spacing w:line="288" w:lineRule="auto"/>
        <w:rPr>
          <w:rFonts w:ascii="Arial" w:hAnsi="Arial" w:cs="Arial"/>
          <w:i/>
          <w:iCs/>
          <w:sz w:val="20"/>
          <w:szCs w:val="20"/>
        </w:rPr>
      </w:pPr>
      <w:r>
        <w:rPr>
          <w:rFonts w:ascii="Arial" w:hAnsi="Arial" w:cs="Arial"/>
          <w:b/>
          <w:sz w:val="20"/>
          <w:szCs w:val="20"/>
        </w:rPr>
        <w:t>Bocube.jpg</w:t>
      </w:r>
      <w:r w:rsidRPr="00193D14">
        <w:rPr>
          <w:rFonts w:ascii="Arial" w:hAnsi="Arial" w:cs="Arial"/>
          <w:b/>
          <w:sz w:val="20"/>
          <w:szCs w:val="20"/>
        </w:rPr>
        <w:t>:</w:t>
      </w:r>
      <w:r>
        <w:rPr>
          <w:rFonts w:ascii="Arial" w:hAnsi="Arial" w:cs="Arial"/>
          <w:sz w:val="20"/>
          <w:szCs w:val="20"/>
        </w:rPr>
        <w:t xml:space="preserve"> </w:t>
      </w:r>
      <w:r w:rsidR="003E59E1">
        <w:rPr>
          <w:rFonts w:ascii="Arial" w:hAnsi="Arial" w:cs="Arial"/>
          <w:sz w:val="20"/>
        </w:rPr>
        <w:t>Las innovadoras cajas industriales Bocube de BOPLA se fabrican utilizando exclusivamente materiales listados por la UL y exentos de halógenos</w:t>
      </w:r>
      <w:r>
        <w:rPr>
          <w:rFonts w:ascii="Arial" w:hAnsi="Arial" w:cs="Arial"/>
          <w:sz w:val="20"/>
        </w:rPr>
        <w:t xml:space="preserve"> – </w:t>
      </w:r>
      <w:r>
        <w:rPr>
          <w:rFonts w:ascii="Arial" w:hAnsi="Arial" w:cs="Arial"/>
          <w:i/>
          <w:iCs/>
          <w:sz w:val="20"/>
          <w:szCs w:val="20"/>
        </w:rPr>
        <w:t>Foto</w:t>
      </w:r>
      <w:r w:rsidRPr="003E59E1">
        <w:rPr>
          <w:rFonts w:ascii="Arial" w:hAnsi="Arial" w:cs="Arial"/>
          <w:i/>
          <w:iCs/>
          <w:sz w:val="20"/>
          <w:szCs w:val="20"/>
        </w:rPr>
        <w:t>: Bopla Gehäuse Systeme GmbH</w:t>
      </w:r>
    </w:p>
    <w:p w14:paraId="5876A00F" w14:textId="77777777" w:rsidR="00754C3F" w:rsidRPr="0055656A" w:rsidRDefault="00754C3F" w:rsidP="00754C3F">
      <w:pPr>
        <w:spacing w:line="288" w:lineRule="auto"/>
        <w:rPr>
          <w:rFonts w:ascii="Arial" w:hAnsi="Arial" w:cs="Arial"/>
          <w:sz w:val="20"/>
          <w:szCs w:val="20"/>
        </w:rPr>
      </w:pPr>
    </w:p>
    <w:p w14:paraId="37E9E7DB" w14:textId="77777777" w:rsidR="00B53AD5" w:rsidRDefault="005F25C1" w:rsidP="0055656A">
      <w:pPr>
        <w:spacing w:line="288" w:lineRule="auto"/>
        <w:rPr>
          <w:rFonts w:ascii="Arial" w:hAnsi="Arial" w:cs="Arial"/>
          <w:b/>
          <w:sz w:val="20"/>
          <w:szCs w:val="20"/>
        </w:rPr>
      </w:pPr>
      <w:r>
        <w:rPr>
          <w:rFonts w:ascii="Arial" w:hAnsi="Arial" w:cs="Arial"/>
          <w:b/>
          <w:sz w:val="20"/>
        </w:rPr>
        <w:t>Meta Title</w:t>
      </w:r>
    </w:p>
    <w:p w14:paraId="79CED8C0" w14:textId="4037F914" w:rsidR="00754C3F" w:rsidRDefault="00F35A73" w:rsidP="0055656A">
      <w:pPr>
        <w:spacing w:line="288" w:lineRule="auto"/>
        <w:rPr>
          <w:rFonts w:ascii="Arial" w:hAnsi="Arial" w:cs="Arial"/>
          <w:sz w:val="20"/>
          <w:szCs w:val="20"/>
        </w:rPr>
      </w:pPr>
      <w:r>
        <w:rPr>
          <w:rFonts w:ascii="Arial" w:hAnsi="Arial" w:cs="Arial"/>
          <w:sz w:val="20"/>
        </w:rPr>
        <w:t>Cajas industriales pirorretardantes y aptas para el uso a la intemperie</w:t>
      </w:r>
    </w:p>
    <w:p w14:paraId="2E30A351" w14:textId="77777777" w:rsidR="00754C3F" w:rsidRDefault="00754C3F" w:rsidP="0055656A">
      <w:pPr>
        <w:spacing w:line="288" w:lineRule="auto"/>
        <w:rPr>
          <w:rFonts w:ascii="Arial" w:hAnsi="Arial" w:cs="Arial"/>
          <w:sz w:val="20"/>
          <w:szCs w:val="20"/>
        </w:rPr>
      </w:pPr>
    </w:p>
    <w:p w14:paraId="46CA86F1" w14:textId="0F5E42AD" w:rsidR="005F25C1" w:rsidRPr="00580B6E" w:rsidRDefault="008D3F1F" w:rsidP="0055656A">
      <w:pPr>
        <w:spacing w:line="288" w:lineRule="auto"/>
        <w:rPr>
          <w:rFonts w:ascii="Arial" w:hAnsi="Arial" w:cs="Arial"/>
          <w:b/>
          <w:sz w:val="20"/>
          <w:szCs w:val="20"/>
        </w:rPr>
      </w:pPr>
      <w:r>
        <w:rPr>
          <w:rFonts w:ascii="Arial" w:hAnsi="Arial" w:cs="Arial"/>
          <w:b/>
          <w:sz w:val="20"/>
        </w:rPr>
        <w:t>Meta Tag</w:t>
      </w:r>
    </w:p>
    <w:p w14:paraId="6864756E" w14:textId="2A1ECCBB" w:rsidR="00FA5D6F" w:rsidRDefault="006826B5" w:rsidP="0055656A">
      <w:pPr>
        <w:spacing w:line="288" w:lineRule="auto"/>
        <w:rPr>
          <w:rFonts w:ascii="Arial" w:hAnsi="Arial" w:cs="Arial"/>
          <w:sz w:val="20"/>
          <w:szCs w:val="20"/>
        </w:rPr>
      </w:pPr>
      <w:r>
        <w:rPr>
          <w:rFonts w:ascii="Arial" w:hAnsi="Arial" w:cs="Arial"/>
          <w:sz w:val="20"/>
        </w:rPr>
        <w:t xml:space="preserve">Nadie le </w:t>
      </w:r>
      <w:r w:rsidR="000D3E8A">
        <w:rPr>
          <w:rFonts w:ascii="Arial" w:hAnsi="Arial" w:cs="Arial"/>
          <w:sz w:val="20"/>
        </w:rPr>
        <w:t>ofrece</w:t>
      </w:r>
      <w:r w:rsidR="003345CD">
        <w:rPr>
          <w:rFonts w:ascii="Arial" w:hAnsi="Arial" w:cs="Arial"/>
          <w:sz w:val="20"/>
        </w:rPr>
        <w:t xml:space="preserve"> más. </w:t>
      </w:r>
      <w:r w:rsidR="00472832">
        <w:rPr>
          <w:rFonts w:ascii="Arial" w:hAnsi="Arial" w:cs="Arial"/>
          <w:sz w:val="20"/>
        </w:rPr>
        <w:t>Las c</w:t>
      </w:r>
      <w:r w:rsidR="003345CD">
        <w:rPr>
          <w:rFonts w:ascii="Arial" w:hAnsi="Arial" w:cs="Arial"/>
          <w:sz w:val="20"/>
        </w:rPr>
        <w:t xml:space="preserve">ajas industriales Bocube, fabricadas utilizando exclusivamente materiales listados por la UL y exentos de halógenos, satisfacen los estándares más exigentes del sector. </w:t>
      </w:r>
    </w:p>
    <w:p w14:paraId="4B36D0D0" w14:textId="77777777" w:rsidR="003345CD" w:rsidRDefault="003345CD" w:rsidP="0055656A">
      <w:pPr>
        <w:spacing w:line="288" w:lineRule="auto"/>
        <w:rPr>
          <w:rFonts w:ascii="Arial" w:hAnsi="Arial" w:cs="Arial"/>
          <w:sz w:val="20"/>
          <w:szCs w:val="20"/>
        </w:rPr>
      </w:pPr>
    </w:p>
    <w:p w14:paraId="70F9F212" w14:textId="77777777" w:rsidR="005F25C1" w:rsidRPr="00580B6E" w:rsidRDefault="00C86B1F" w:rsidP="0055656A">
      <w:pPr>
        <w:spacing w:line="288" w:lineRule="auto"/>
        <w:rPr>
          <w:rFonts w:ascii="Arial" w:hAnsi="Arial" w:cs="Arial"/>
          <w:b/>
          <w:sz w:val="20"/>
          <w:szCs w:val="20"/>
        </w:rPr>
      </w:pPr>
      <w:r>
        <w:rPr>
          <w:rFonts w:ascii="Arial" w:hAnsi="Arial" w:cs="Arial"/>
          <w:b/>
          <w:sz w:val="20"/>
        </w:rPr>
        <w:t>Keywords</w:t>
      </w:r>
    </w:p>
    <w:p w14:paraId="058C3576" w14:textId="77777777" w:rsidR="00625298" w:rsidRPr="0055656A" w:rsidRDefault="00625298" w:rsidP="00625298">
      <w:pPr>
        <w:spacing w:line="288" w:lineRule="auto"/>
        <w:rPr>
          <w:rFonts w:ascii="Arial" w:hAnsi="Arial" w:cs="Arial"/>
          <w:sz w:val="20"/>
          <w:szCs w:val="20"/>
        </w:rPr>
      </w:pPr>
      <w:r>
        <w:rPr>
          <w:rFonts w:ascii="Arial" w:hAnsi="Arial" w:cs="Arial"/>
          <w:sz w:val="20"/>
        </w:rPr>
        <w:t>Cajas para equipos electrónicos pirorretardantes y aptas para el uso a la intemperie, cajas para equipos electrónicos de materiales listados por la UL, cajas industriales pirorretardantes, robustas cajas para equipos electrónicos, cajas industriales listadas por la UL, BOPLA</w:t>
      </w:r>
    </w:p>
    <w:p w14:paraId="125D5F28" w14:textId="77777777" w:rsidR="005F25C1" w:rsidRPr="0055656A" w:rsidRDefault="005F25C1" w:rsidP="0055656A">
      <w:pPr>
        <w:spacing w:line="288" w:lineRule="auto"/>
        <w:rPr>
          <w:rFonts w:ascii="Arial" w:hAnsi="Arial" w:cs="Arial"/>
          <w:sz w:val="20"/>
          <w:szCs w:val="20"/>
        </w:rPr>
      </w:pPr>
    </w:p>
    <w:p w14:paraId="5F4B39F5" w14:textId="77777777" w:rsidR="00503EE7" w:rsidRPr="00580B6E" w:rsidRDefault="00503EE7" w:rsidP="00503EE7">
      <w:pPr>
        <w:spacing w:line="288" w:lineRule="auto"/>
        <w:rPr>
          <w:rFonts w:ascii="Arial" w:hAnsi="Arial" w:cs="Arial"/>
          <w:b/>
          <w:sz w:val="20"/>
          <w:szCs w:val="20"/>
        </w:rPr>
      </w:pPr>
      <w:r>
        <w:rPr>
          <w:rFonts w:ascii="Arial" w:hAnsi="Arial" w:cs="Arial"/>
          <w:b/>
          <w:sz w:val="20"/>
          <w:szCs w:val="20"/>
        </w:rPr>
        <w:t>Deeplinks</w:t>
      </w:r>
    </w:p>
    <w:p w14:paraId="63FB423F" w14:textId="77777777" w:rsidR="00503EE7" w:rsidRPr="00754C3F" w:rsidRDefault="00503EE7" w:rsidP="00503EE7">
      <w:pPr>
        <w:spacing w:line="288" w:lineRule="auto"/>
        <w:rPr>
          <w:rStyle w:val="Hyperlink"/>
          <w:rFonts w:ascii="Arial" w:hAnsi="Arial" w:cs="Arial"/>
          <w:sz w:val="20"/>
          <w:szCs w:val="20"/>
        </w:rPr>
      </w:pPr>
      <w:hyperlink r:id="rId14" w:history="1">
        <w:r w:rsidRPr="00754C3F">
          <w:rPr>
            <w:rStyle w:val="Hyperlink"/>
            <w:rFonts w:ascii="Arial" w:hAnsi="Arial" w:cs="Arial"/>
            <w:sz w:val="20"/>
            <w:szCs w:val="20"/>
          </w:rPr>
          <w:t>https://www.bopla.de/</w:t>
        </w:r>
      </w:hyperlink>
    </w:p>
    <w:p w14:paraId="39294759" w14:textId="77777777" w:rsidR="00503EE7" w:rsidRDefault="00503EE7" w:rsidP="00503EE7">
      <w:pPr>
        <w:spacing w:line="288" w:lineRule="auto"/>
        <w:rPr>
          <w:rFonts w:ascii="Arial" w:hAnsi="Arial" w:cs="Arial"/>
          <w:sz w:val="20"/>
          <w:szCs w:val="20"/>
        </w:rPr>
      </w:pPr>
      <w:hyperlink r:id="rId15" w:history="1">
        <w:r w:rsidRPr="00DB2A38">
          <w:rPr>
            <w:rStyle w:val="Hyperlink"/>
            <w:rFonts w:ascii="Arial" w:hAnsi="Arial" w:cs="Arial"/>
            <w:sz w:val="20"/>
            <w:szCs w:val="20"/>
          </w:rPr>
          <w:t>https://www.bopla.de/gehaeusetechnik/product/bocube.html</w:t>
        </w:r>
      </w:hyperlink>
    </w:p>
    <w:p w14:paraId="7FA300B6" w14:textId="77777777" w:rsidR="00503EE7" w:rsidRDefault="00503EE7" w:rsidP="00503EE7">
      <w:pPr>
        <w:spacing w:line="288" w:lineRule="auto"/>
        <w:rPr>
          <w:rFonts w:ascii="Arial" w:hAnsi="Arial" w:cs="Arial"/>
          <w:sz w:val="20"/>
          <w:szCs w:val="20"/>
        </w:rPr>
      </w:pPr>
      <w:hyperlink r:id="rId16" w:history="1">
        <w:r w:rsidRPr="00DB2A38">
          <w:rPr>
            <w:rStyle w:val="Hyperlink"/>
            <w:rFonts w:ascii="Arial" w:hAnsi="Arial" w:cs="Arial"/>
            <w:sz w:val="20"/>
            <w:szCs w:val="20"/>
          </w:rPr>
          <w:t>https://www.bopla.de/technische-daten/technische-informationen/materialinformationen-kunststoff/outdoorfaehigkeit.html</w:t>
        </w:r>
      </w:hyperlink>
    </w:p>
    <w:p w14:paraId="2B5F4F16" w14:textId="77777777" w:rsidR="00503EE7" w:rsidRDefault="00503EE7" w:rsidP="00503EE7">
      <w:pPr>
        <w:spacing w:line="288" w:lineRule="auto"/>
        <w:rPr>
          <w:rFonts w:ascii="Arial" w:hAnsi="Arial" w:cs="Arial"/>
          <w:sz w:val="20"/>
          <w:szCs w:val="20"/>
        </w:rPr>
      </w:pPr>
      <w:hyperlink r:id="rId17" w:history="1">
        <w:r w:rsidRPr="00DB2A38">
          <w:rPr>
            <w:rStyle w:val="Hyperlink"/>
            <w:rFonts w:ascii="Arial" w:hAnsi="Arial" w:cs="Arial"/>
            <w:sz w:val="20"/>
            <w:szCs w:val="20"/>
          </w:rPr>
          <w:t>https://www.bopla.de/technische-daten/technische-informationen/materialinformationen-kunststoff/flammwidrigkeit-von-kunststoffen.html</w:t>
        </w:r>
      </w:hyperlink>
    </w:p>
    <w:p w14:paraId="230855CA" w14:textId="0269DA55" w:rsidR="00567F7C" w:rsidRDefault="00567F7C">
      <w:pPr>
        <w:spacing w:line="288" w:lineRule="auto"/>
        <w:rPr>
          <w:rFonts w:ascii="Arial" w:hAnsi="Arial" w:cs="Arial"/>
          <w:sz w:val="20"/>
          <w:szCs w:val="20"/>
        </w:rPr>
      </w:pPr>
    </w:p>
    <w:p w14:paraId="31E9B277" w14:textId="6D7052ED" w:rsidR="00503EE7" w:rsidRDefault="00503EE7">
      <w:pPr>
        <w:spacing w:line="288" w:lineRule="auto"/>
        <w:rPr>
          <w:rFonts w:ascii="Arial" w:hAnsi="Arial" w:cs="Arial"/>
          <w:sz w:val="20"/>
          <w:szCs w:val="20"/>
        </w:rPr>
      </w:pPr>
    </w:p>
    <w:p w14:paraId="092A3AD3" w14:textId="341F5358" w:rsidR="00503EE7" w:rsidRDefault="00503EE7">
      <w:pPr>
        <w:spacing w:line="288" w:lineRule="auto"/>
        <w:rPr>
          <w:rFonts w:ascii="Arial" w:hAnsi="Arial" w:cs="Arial"/>
          <w:sz w:val="20"/>
          <w:szCs w:val="20"/>
        </w:rPr>
      </w:pPr>
    </w:p>
    <w:p w14:paraId="30CD34A1" w14:textId="4B68E046" w:rsidR="00503EE7" w:rsidRDefault="00503EE7">
      <w:pPr>
        <w:spacing w:line="288" w:lineRule="auto"/>
        <w:rPr>
          <w:rFonts w:ascii="Arial" w:hAnsi="Arial" w:cs="Arial"/>
          <w:sz w:val="20"/>
          <w:szCs w:val="20"/>
        </w:rPr>
      </w:pPr>
    </w:p>
    <w:p w14:paraId="41E75883" w14:textId="77777777" w:rsidR="00503EE7" w:rsidRPr="0055656A" w:rsidRDefault="00503EE7" w:rsidP="00503EE7">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1170CAD4" w14:textId="77777777" w:rsidR="00503EE7" w:rsidRPr="0055656A" w:rsidRDefault="00503EE7">
      <w:pPr>
        <w:spacing w:line="288" w:lineRule="auto"/>
        <w:rPr>
          <w:rFonts w:ascii="Arial" w:hAnsi="Arial" w:cs="Arial"/>
          <w:sz w:val="20"/>
          <w:szCs w:val="20"/>
        </w:rPr>
      </w:pPr>
    </w:p>
    <w:sectPr w:rsidR="00503EE7" w:rsidRPr="0055656A" w:rsidSect="006D3C81">
      <w:headerReference w:type="default" r:id="rId18"/>
      <w:footerReference w:type="default" r:id="rId19"/>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6C4BB" w14:textId="77777777" w:rsidR="009F1211" w:rsidRDefault="009F1211" w:rsidP="006D3C81">
      <w:r>
        <w:separator/>
      </w:r>
    </w:p>
  </w:endnote>
  <w:endnote w:type="continuationSeparator" w:id="0">
    <w:p w14:paraId="4427C628" w14:textId="77777777" w:rsidR="009F1211" w:rsidRDefault="009F1211"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354C" w14:textId="49A2C2BC" w:rsidR="006D3C81" w:rsidRPr="00503EE7" w:rsidRDefault="006D3C81" w:rsidP="006D3C81">
    <w:pPr>
      <w:pStyle w:val="Fuzeile"/>
      <w:jc w:val="center"/>
      <w:rPr>
        <w:lang w:val="de-DE"/>
      </w:rPr>
    </w:pPr>
    <w:proofErr w:type="spellStart"/>
    <w:r w:rsidRPr="00503EE7">
      <w:rPr>
        <w:lang w:val="de-DE"/>
      </w:rPr>
      <w:t>Bopla</w:t>
    </w:r>
    <w:proofErr w:type="spellEnd"/>
    <w:r w:rsidRPr="00503EE7">
      <w:rPr>
        <w:lang w:val="de-DE"/>
      </w:rPr>
      <w:t xml:space="preserve"> Gehäuse Systeme GmbH</w:t>
    </w:r>
  </w:p>
  <w:p w14:paraId="234781AC" w14:textId="77777777" w:rsidR="006D3C81" w:rsidRPr="00503EE7" w:rsidRDefault="006D3C81" w:rsidP="006D3C81">
    <w:pPr>
      <w:pStyle w:val="Fuzeile"/>
      <w:jc w:val="center"/>
      <w:rPr>
        <w:lang w:val="de-DE"/>
      </w:rPr>
    </w:pPr>
    <w:proofErr w:type="spellStart"/>
    <w:r w:rsidRPr="00503EE7">
      <w:rPr>
        <w:lang w:val="de-DE"/>
      </w:rPr>
      <w:t>Borsigstr</w:t>
    </w:r>
    <w:proofErr w:type="spellEnd"/>
    <w:r w:rsidRPr="00503EE7">
      <w:rPr>
        <w:lang w:val="de-DE"/>
      </w:rPr>
      <w:t>. 17-25 - 32257 Bünde</w:t>
    </w:r>
  </w:p>
  <w:p w14:paraId="673135E7" w14:textId="77777777" w:rsidR="00DD0C7E" w:rsidRPr="00503EE7" w:rsidRDefault="00DD0C7E" w:rsidP="00DD0C7E">
    <w:pPr>
      <w:pStyle w:val="Fuzeile"/>
      <w:jc w:val="center"/>
      <w:rPr>
        <w:lang w:val="de-DE"/>
      </w:rPr>
    </w:pPr>
    <w:r w:rsidRPr="00503EE7">
      <w:rPr>
        <w:lang w:val="de-DE"/>
      </w:rPr>
      <w:t>Tel.: +49 5223 969-0 – Fax: +49 5223 969-100</w:t>
    </w:r>
  </w:p>
  <w:p w14:paraId="6DF28576" w14:textId="6D533805" w:rsidR="006D3C81" w:rsidRPr="00503EE7" w:rsidRDefault="00DD0C7E" w:rsidP="00DD0C7E">
    <w:pPr>
      <w:pStyle w:val="Fuzeile"/>
      <w:jc w:val="center"/>
      <w:rPr>
        <w:lang w:val="de-DE"/>
      </w:rPr>
    </w:pPr>
    <w:r w:rsidRPr="00503EE7">
      <w:rPr>
        <w:lang w:val="de-DE"/>
      </w:rPr>
      <w:t xml:space="preserve">Internet: </w:t>
    </w:r>
    <w:hyperlink r:id="rId1" w:history="1">
      <w:r w:rsidRPr="00503EE7">
        <w:rPr>
          <w:rStyle w:val="Hyperlink"/>
          <w:u w:val="none"/>
          <w:lang w:val="de-DE"/>
        </w:rPr>
        <w:t>www.bopla.de</w:t>
      </w:r>
    </w:hyperlink>
    <w:r w:rsidRPr="00503EE7">
      <w:rPr>
        <w:lang w:val="de-DE"/>
      </w:rPr>
      <w:t xml:space="preserve"> – </w:t>
    </w:r>
    <w:proofErr w:type="spellStart"/>
    <w:r w:rsidR="00503EE7">
      <w:rPr>
        <w:lang w:val="de-DE"/>
      </w:rPr>
      <w:t>e</w:t>
    </w:r>
    <w:r w:rsidRPr="00503EE7">
      <w:rPr>
        <w:lang w:val="de-DE"/>
      </w:rPr>
      <w:t>-</w:t>
    </w:r>
    <w:r w:rsidR="00503EE7">
      <w:rPr>
        <w:lang w:val="de-DE"/>
      </w:rPr>
      <w:t>m</w:t>
    </w:r>
    <w:r w:rsidRPr="00503EE7">
      <w:rPr>
        <w:lang w:val="de-DE"/>
      </w:rPr>
      <w:t>ail</w:t>
    </w:r>
    <w:proofErr w:type="spellEnd"/>
    <w:r w:rsidRPr="00503EE7">
      <w:rPr>
        <w:lang w:val="de-DE"/>
      </w:rPr>
      <w:t>: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59CB" w14:textId="77777777" w:rsidR="009F1211" w:rsidRDefault="009F1211" w:rsidP="006D3C81">
      <w:r>
        <w:separator/>
      </w:r>
    </w:p>
  </w:footnote>
  <w:footnote w:type="continuationSeparator" w:id="0">
    <w:p w14:paraId="1FE55A1A" w14:textId="77777777" w:rsidR="009F1211" w:rsidRDefault="009F1211"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E7D5" w14:textId="77777777" w:rsidR="006D3C81" w:rsidRDefault="006D3C81">
    <w:pPr>
      <w:pStyle w:val="Kopfzeile"/>
    </w:pPr>
  </w:p>
  <w:p w14:paraId="4383947F" w14:textId="69A07543" w:rsidR="006D3C81" w:rsidRPr="006D3C81" w:rsidRDefault="00DD0C7E" w:rsidP="00216DCC">
    <w:pPr>
      <w:pStyle w:val="Kopfzeile"/>
      <w:tabs>
        <w:tab w:val="clear" w:pos="4536"/>
      </w:tabs>
      <w:jc w:val="right"/>
      <w:rPr>
        <w:i/>
        <w:sz w:val="44"/>
      </w:rPr>
    </w:pPr>
    <w:r>
      <w:rPr>
        <w:i/>
        <w:sz w:val="44"/>
      </w:rPr>
      <w:t>Comunicado de prensa</w:t>
    </w:r>
    <w:r w:rsidR="00216DCC">
      <w:rPr>
        <w:i/>
        <w:sz w:val="44"/>
      </w:rPr>
      <w:tab/>
    </w:r>
    <w:r>
      <w:rPr>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09311D"/>
    <w:multiLevelType w:val="multilevel"/>
    <w:tmpl w:val="B75608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347BA"/>
    <w:rsid w:val="00050B31"/>
    <w:rsid w:val="00054721"/>
    <w:rsid w:val="0006451A"/>
    <w:rsid w:val="000820E9"/>
    <w:rsid w:val="00082154"/>
    <w:rsid w:val="000A4863"/>
    <w:rsid w:val="000D3E8A"/>
    <w:rsid w:val="000D534F"/>
    <w:rsid w:val="000E2D10"/>
    <w:rsid w:val="0011667D"/>
    <w:rsid w:val="00121B4E"/>
    <w:rsid w:val="00121CF4"/>
    <w:rsid w:val="00131938"/>
    <w:rsid w:val="00132F00"/>
    <w:rsid w:val="00176213"/>
    <w:rsid w:val="00181C41"/>
    <w:rsid w:val="0018280B"/>
    <w:rsid w:val="00185894"/>
    <w:rsid w:val="00193D14"/>
    <w:rsid w:val="001A525C"/>
    <w:rsid w:val="001A553E"/>
    <w:rsid w:val="001E1E7F"/>
    <w:rsid w:val="0020217D"/>
    <w:rsid w:val="00216DCC"/>
    <w:rsid w:val="00223267"/>
    <w:rsid w:val="002260D2"/>
    <w:rsid w:val="00274D97"/>
    <w:rsid w:val="0029448E"/>
    <w:rsid w:val="00302529"/>
    <w:rsid w:val="00306103"/>
    <w:rsid w:val="003229F1"/>
    <w:rsid w:val="003345CD"/>
    <w:rsid w:val="00364E6C"/>
    <w:rsid w:val="00370A22"/>
    <w:rsid w:val="003774FE"/>
    <w:rsid w:val="003A53BB"/>
    <w:rsid w:val="003B4E3D"/>
    <w:rsid w:val="003D3400"/>
    <w:rsid w:val="003E59E1"/>
    <w:rsid w:val="004132A4"/>
    <w:rsid w:val="004170A3"/>
    <w:rsid w:val="00422E7D"/>
    <w:rsid w:val="00472832"/>
    <w:rsid w:val="00477BE9"/>
    <w:rsid w:val="00477C12"/>
    <w:rsid w:val="00481423"/>
    <w:rsid w:val="004A08F1"/>
    <w:rsid w:val="004B5A12"/>
    <w:rsid w:val="004C10BD"/>
    <w:rsid w:val="004E7EA3"/>
    <w:rsid w:val="00500D03"/>
    <w:rsid w:val="0050144A"/>
    <w:rsid w:val="0050179C"/>
    <w:rsid w:val="00503EE7"/>
    <w:rsid w:val="00517E86"/>
    <w:rsid w:val="00522240"/>
    <w:rsid w:val="00536BAF"/>
    <w:rsid w:val="00536C10"/>
    <w:rsid w:val="00546161"/>
    <w:rsid w:val="0055656A"/>
    <w:rsid w:val="005614F4"/>
    <w:rsid w:val="00567F7C"/>
    <w:rsid w:val="00573837"/>
    <w:rsid w:val="00580B6E"/>
    <w:rsid w:val="005A5176"/>
    <w:rsid w:val="005A68B6"/>
    <w:rsid w:val="005B0FE1"/>
    <w:rsid w:val="005B6722"/>
    <w:rsid w:val="005C1BCF"/>
    <w:rsid w:val="005E19C2"/>
    <w:rsid w:val="005E4457"/>
    <w:rsid w:val="005F23F1"/>
    <w:rsid w:val="005F25C1"/>
    <w:rsid w:val="005F3D1C"/>
    <w:rsid w:val="00625298"/>
    <w:rsid w:val="00625904"/>
    <w:rsid w:val="00660D32"/>
    <w:rsid w:val="006611A1"/>
    <w:rsid w:val="00661483"/>
    <w:rsid w:val="00665CD5"/>
    <w:rsid w:val="006826B5"/>
    <w:rsid w:val="006D3C81"/>
    <w:rsid w:val="0070273D"/>
    <w:rsid w:val="00751273"/>
    <w:rsid w:val="00754C3F"/>
    <w:rsid w:val="007644EE"/>
    <w:rsid w:val="00766C34"/>
    <w:rsid w:val="00790EA8"/>
    <w:rsid w:val="007B181B"/>
    <w:rsid w:val="007E1A27"/>
    <w:rsid w:val="007F368E"/>
    <w:rsid w:val="00801D36"/>
    <w:rsid w:val="00804B7C"/>
    <w:rsid w:val="008112D8"/>
    <w:rsid w:val="00846787"/>
    <w:rsid w:val="00860B7A"/>
    <w:rsid w:val="00861ED6"/>
    <w:rsid w:val="00863C63"/>
    <w:rsid w:val="00867122"/>
    <w:rsid w:val="008732E0"/>
    <w:rsid w:val="008745D7"/>
    <w:rsid w:val="008860B3"/>
    <w:rsid w:val="00891938"/>
    <w:rsid w:val="008C7480"/>
    <w:rsid w:val="008D3F1F"/>
    <w:rsid w:val="008E432C"/>
    <w:rsid w:val="00904B61"/>
    <w:rsid w:val="009056C6"/>
    <w:rsid w:val="00905DBB"/>
    <w:rsid w:val="00906C1C"/>
    <w:rsid w:val="0091242A"/>
    <w:rsid w:val="00913B49"/>
    <w:rsid w:val="009274CA"/>
    <w:rsid w:val="00931509"/>
    <w:rsid w:val="00945E2A"/>
    <w:rsid w:val="00956192"/>
    <w:rsid w:val="009564C6"/>
    <w:rsid w:val="00971A77"/>
    <w:rsid w:val="009803D7"/>
    <w:rsid w:val="0098166F"/>
    <w:rsid w:val="009A6DD7"/>
    <w:rsid w:val="009B07FB"/>
    <w:rsid w:val="009E4928"/>
    <w:rsid w:val="009F1211"/>
    <w:rsid w:val="009F4627"/>
    <w:rsid w:val="009F551E"/>
    <w:rsid w:val="00A2567F"/>
    <w:rsid w:val="00A56C28"/>
    <w:rsid w:val="00A92A22"/>
    <w:rsid w:val="00AD5168"/>
    <w:rsid w:val="00AF3462"/>
    <w:rsid w:val="00B17B9D"/>
    <w:rsid w:val="00B31DED"/>
    <w:rsid w:val="00B347D9"/>
    <w:rsid w:val="00B3508E"/>
    <w:rsid w:val="00B40F3D"/>
    <w:rsid w:val="00B42184"/>
    <w:rsid w:val="00B51DD9"/>
    <w:rsid w:val="00B53AD5"/>
    <w:rsid w:val="00B72A08"/>
    <w:rsid w:val="00B75703"/>
    <w:rsid w:val="00B83204"/>
    <w:rsid w:val="00B83AB1"/>
    <w:rsid w:val="00B91803"/>
    <w:rsid w:val="00B95509"/>
    <w:rsid w:val="00BA1DF1"/>
    <w:rsid w:val="00BA2B26"/>
    <w:rsid w:val="00BB09B8"/>
    <w:rsid w:val="00BB413C"/>
    <w:rsid w:val="00BC4DD6"/>
    <w:rsid w:val="00BE62C5"/>
    <w:rsid w:val="00C1794E"/>
    <w:rsid w:val="00C273F4"/>
    <w:rsid w:val="00C3061A"/>
    <w:rsid w:val="00C32EDE"/>
    <w:rsid w:val="00C378EC"/>
    <w:rsid w:val="00C64411"/>
    <w:rsid w:val="00C6521A"/>
    <w:rsid w:val="00C6710E"/>
    <w:rsid w:val="00C72A08"/>
    <w:rsid w:val="00C816FF"/>
    <w:rsid w:val="00C86B1F"/>
    <w:rsid w:val="00C870AE"/>
    <w:rsid w:val="00C87D80"/>
    <w:rsid w:val="00CB2498"/>
    <w:rsid w:val="00CC15A8"/>
    <w:rsid w:val="00CC5DD0"/>
    <w:rsid w:val="00CD33EB"/>
    <w:rsid w:val="00CD3598"/>
    <w:rsid w:val="00CD7CD6"/>
    <w:rsid w:val="00CE1E28"/>
    <w:rsid w:val="00CE2FB3"/>
    <w:rsid w:val="00CE722E"/>
    <w:rsid w:val="00D35409"/>
    <w:rsid w:val="00D425ED"/>
    <w:rsid w:val="00D5094D"/>
    <w:rsid w:val="00D61BC3"/>
    <w:rsid w:val="00D62A10"/>
    <w:rsid w:val="00D67FB6"/>
    <w:rsid w:val="00D74251"/>
    <w:rsid w:val="00D77846"/>
    <w:rsid w:val="00D8790A"/>
    <w:rsid w:val="00D96C71"/>
    <w:rsid w:val="00DA151D"/>
    <w:rsid w:val="00DA7D08"/>
    <w:rsid w:val="00DB07BC"/>
    <w:rsid w:val="00DB0862"/>
    <w:rsid w:val="00DC0907"/>
    <w:rsid w:val="00DC3ACC"/>
    <w:rsid w:val="00DC54F3"/>
    <w:rsid w:val="00DD0C7E"/>
    <w:rsid w:val="00DD4B7E"/>
    <w:rsid w:val="00DE6381"/>
    <w:rsid w:val="00DF1CFE"/>
    <w:rsid w:val="00DF5578"/>
    <w:rsid w:val="00E7663B"/>
    <w:rsid w:val="00E77058"/>
    <w:rsid w:val="00E8227D"/>
    <w:rsid w:val="00E82886"/>
    <w:rsid w:val="00E84234"/>
    <w:rsid w:val="00E86987"/>
    <w:rsid w:val="00EA23F5"/>
    <w:rsid w:val="00EA5EE9"/>
    <w:rsid w:val="00EE2898"/>
    <w:rsid w:val="00EE4AFC"/>
    <w:rsid w:val="00EE5D48"/>
    <w:rsid w:val="00EE604E"/>
    <w:rsid w:val="00F07191"/>
    <w:rsid w:val="00F1426D"/>
    <w:rsid w:val="00F14376"/>
    <w:rsid w:val="00F153E2"/>
    <w:rsid w:val="00F230A4"/>
    <w:rsid w:val="00F23643"/>
    <w:rsid w:val="00F2383E"/>
    <w:rsid w:val="00F35A73"/>
    <w:rsid w:val="00F426D4"/>
    <w:rsid w:val="00F51A46"/>
    <w:rsid w:val="00F729EE"/>
    <w:rsid w:val="00F93DD5"/>
    <w:rsid w:val="00FA5D6F"/>
    <w:rsid w:val="00FB25F6"/>
    <w:rsid w:val="00FB476C"/>
    <w:rsid w:val="00FC6A59"/>
    <w:rsid w:val="00FC7671"/>
    <w:rsid w:val="00FC76BD"/>
    <w:rsid w:val="00FD0F61"/>
    <w:rsid w:val="00FE48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A1DF1"/>
    <w:pPr>
      <w:spacing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style>
  <w:style w:type="paragraph" w:styleId="Kopfzeile">
    <w:name w:val="header"/>
    <w:basedOn w:val="Standard"/>
    <w:link w:val="KopfzeileZchn"/>
    <w:uiPriority w:val="99"/>
    <w:unhideWhenUsed/>
    <w:rsid w:val="006D3C81"/>
    <w:pPr>
      <w:tabs>
        <w:tab w:val="center" w:pos="4536"/>
        <w:tab w:val="right" w:pos="9072"/>
      </w:tabs>
    </w:p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StandardWeb">
    <w:name w:val="Normal (Web)"/>
    <w:basedOn w:val="Standard"/>
    <w:uiPriority w:val="99"/>
    <w:semiHidden/>
    <w:unhideWhenUsed/>
    <w:rsid w:val="00BA1DF1"/>
    <w:pPr>
      <w:spacing w:before="100" w:beforeAutospacing="1" w:after="100" w:afterAutospacing="1"/>
    </w:pPr>
  </w:style>
  <w:style w:type="paragraph" w:styleId="berarbeitung">
    <w:name w:val="Revision"/>
    <w:hidden/>
    <w:uiPriority w:val="99"/>
    <w:semiHidden/>
    <w:rsid w:val="0011667D"/>
    <w:pPr>
      <w:spacing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80165">
      <w:bodyDiv w:val="1"/>
      <w:marLeft w:val="0"/>
      <w:marRight w:val="0"/>
      <w:marTop w:val="0"/>
      <w:marBottom w:val="0"/>
      <w:divBdr>
        <w:top w:val="none" w:sz="0" w:space="0" w:color="auto"/>
        <w:left w:val="none" w:sz="0" w:space="0" w:color="auto"/>
        <w:bottom w:val="none" w:sz="0" w:space="0" w:color="auto"/>
        <w:right w:val="none" w:sz="0" w:space="0" w:color="auto"/>
      </w:divBdr>
    </w:div>
    <w:div w:id="184104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pla.de/gehaeusetechnik/product/bocube.html"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pla.de" TargetMode="External"/><Relationship Id="rId17" Type="http://schemas.openxmlformats.org/officeDocument/2006/relationships/hyperlink" Target="https://www.bopla.de/technische-daten/technische-informationen/materialinformationen-kunststoff/flammwidrigkeit-von-kunststoffen.html" TargetMode="External"/><Relationship Id="rId2" Type="http://schemas.openxmlformats.org/officeDocument/2006/relationships/numbering" Target="numbering.xml"/><Relationship Id="rId16" Type="http://schemas.openxmlformats.org/officeDocument/2006/relationships/hyperlink" Target="https://www.bopla.de/technische-daten/technische-informationen/materialinformationen-kunststoff/outdoorfaehigkei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technische-daten/technische-informationen/materialinformationen-kunststoff/outdoorfaehigkeit.html" TargetMode="External"/><Relationship Id="rId5" Type="http://schemas.openxmlformats.org/officeDocument/2006/relationships/webSettings" Target="webSettings.xml"/><Relationship Id="rId15" Type="http://schemas.openxmlformats.org/officeDocument/2006/relationships/hyperlink" Target="https://www.bopla.de/gehaeusetechnik/product/bocube.html" TargetMode="External"/><Relationship Id="rId10" Type="http://schemas.openxmlformats.org/officeDocument/2006/relationships/hyperlink" Target="https://www.bopla.de/technische-daten/technische-informationen/materialinformationen-kunststoff/flammwidrigkeit-von-kunststoffe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pla.de/" TargetMode="External"/><Relationship Id="rId14" Type="http://schemas.openxmlformats.org/officeDocument/2006/relationships/hyperlink" Target="https://www.bopla.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AB413F6E-088B-4929-BD0A-0F6131D22A3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Dieter Schmikowski</cp:lastModifiedBy>
  <cp:revision>2</cp:revision>
  <dcterms:created xsi:type="dcterms:W3CDTF">2022-06-17T04:59:00Z</dcterms:created>
  <dcterms:modified xsi:type="dcterms:W3CDTF">2022-06-17T04:59:00Z</dcterms:modified>
</cp:coreProperties>
</file>