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4F9E" w14:textId="77777777" w:rsidR="007B3F3C" w:rsidRDefault="007B3F3C">
      <w:pPr>
        <w:spacing w:line="288" w:lineRule="auto"/>
        <w:jc w:val="right"/>
        <w:rPr>
          <w:rFonts w:ascii="Arial" w:hAnsi="Arial"/>
          <w:sz w:val="20"/>
          <w:lang w:val="it-IT"/>
        </w:rPr>
      </w:pPr>
    </w:p>
    <w:p w14:paraId="35103166" w14:textId="289E952F" w:rsidR="007B3F3C" w:rsidRDefault="00813174">
      <w:pPr>
        <w:spacing w:line="288" w:lineRule="auto"/>
        <w:jc w:val="right"/>
        <w:rPr>
          <w:rFonts w:ascii="Arial" w:hAnsi="Arial"/>
          <w:sz w:val="20"/>
          <w:lang w:val="it-IT"/>
        </w:rPr>
      </w:pPr>
      <w:r>
        <w:rPr>
          <w:rFonts w:ascii="Arial" w:hAnsi="Arial"/>
          <w:noProof/>
          <w:sz w:val="20"/>
          <w:lang w:val="it-IT"/>
        </w:rPr>
        <w:t>16</w:t>
      </w:r>
      <w:r w:rsidR="00463200">
        <w:rPr>
          <w:rFonts w:ascii="Arial" w:hAnsi="Arial"/>
          <w:noProof/>
          <w:sz w:val="20"/>
          <w:lang w:val="it-IT"/>
        </w:rPr>
        <w:t xml:space="preserve"> maggio 2022</w:t>
      </w:r>
    </w:p>
    <w:p w14:paraId="4943D718" w14:textId="77777777" w:rsidR="007B3F3C" w:rsidRDefault="007B3F3C">
      <w:pPr>
        <w:spacing w:line="288" w:lineRule="auto"/>
        <w:rPr>
          <w:rFonts w:ascii="Arial" w:hAnsi="Arial"/>
          <w:sz w:val="20"/>
          <w:lang w:val="it-IT"/>
        </w:rPr>
      </w:pPr>
    </w:p>
    <w:p w14:paraId="4A9F80AB" w14:textId="77777777" w:rsidR="007B3F3C" w:rsidRDefault="007B3F3C">
      <w:pPr>
        <w:spacing w:line="288" w:lineRule="auto"/>
        <w:rPr>
          <w:rFonts w:ascii="Arial" w:hAnsi="Arial"/>
          <w:sz w:val="20"/>
          <w:lang w:val="it-IT"/>
        </w:rPr>
      </w:pPr>
    </w:p>
    <w:p w14:paraId="64180EDD" w14:textId="77777777" w:rsidR="007B3F3C" w:rsidRDefault="00463200">
      <w:pPr>
        <w:spacing w:line="280" w:lineRule="auto"/>
        <w:rPr>
          <w:rFonts w:ascii="Arial" w:hAnsi="Arial"/>
          <w:lang w:val="it-IT"/>
        </w:rPr>
      </w:pPr>
      <w:r>
        <w:rPr>
          <w:rFonts w:ascii="Arial" w:hAnsi="Arial"/>
          <w:sz w:val="20"/>
          <w:lang w:val="it-IT"/>
        </w:rPr>
        <w:t xml:space="preserve">Linea di custodie da tavolo Alu-Topline ora con nuova variante </w:t>
      </w:r>
    </w:p>
    <w:p w14:paraId="09FF1FF6" w14:textId="77777777" w:rsidR="007B3F3C" w:rsidRDefault="00463200">
      <w:pPr>
        <w:spacing w:line="280" w:lineRule="auto"/>
        <w:rPr>
          <w:rFonts w:ascii="Arial" w:hAnsi="Arial"/>
          <w:lang w:val="it-IT"/>
        </w:rPr>
      </w:pPr>
      <w:r>
        <w:rPr>
          <w:rFonts w:ascii="Arial" w:hAnsi="Arial"/>
          <w:b/>
          <w:sz w:val="20"/>
          <w:lang w:val="it-IT"/>
        </w:rPr>
        <w:t>Di tutto e di più: display tattile più ampio, più spazio per l'installazione di componenti e un grado IP più elevato</w:t>
      </w:r>
    </w:p>
    <w:p w14:paraId="1B79D485" w14:textId="77777777" w:rsidR="007B3F3C" w:rsidRDefault="007B3F3C">
      <w:pPr>
        <w:spacing w:line="288" w:lineRule="auto"/>
        <w:rPr>
          <w:rFonts w:ascii="Arial" w:hAnsi="Arial"/>
          <w:sz w:val="20"/>
          <w:lang w:val="it-IT"/>
        </w:rPr>
      </w:pPr>
    </w:p>
    <w:p w14:paraId="2BDAB5FA" w14:textId="77777777" w:rsidR="007B3F3C" w:rsidRDefault="00463200">
      <w:pPr>
        <w:spacing w:line="280" w:lineRule="auto"/>
        <w:rPr>
          <w:rFonts w:ascii="Arial" w:hAnsi="Arial"/>
          <w:lang w:val="it-IT"/>
        </w:rPr>
      </w:pPr>
      <w:r>
        <w:rPr>
          <w:rFonts w:ascii="Arial" w:hAnsi="Arial"/>
          <w:b/>
          <w:sz w:val="20"/>
          <w:lang w:val="it-IT"/>
        </w:rPr>
        <w:t xml:space="preserve">Rispondendo alle frequenti richieste inviateci dai nostri clienti, abbiamo ampliato </w:t>
      </w:r>
      <w:r>
        <w:rPr>
          <w:rFonts w:ascii="Arial" w:hAnsi="Arial"/>
          <w:b/>
          <w:sz w:val="20"/>
          <w:u w:val="single"/>
          <w:lang w:val="it-IT"/>
        </w:rPr>
        <w:t>il nostro noto sistema di custodie Alu-Topline</w:t>
      </w:r>
      <w:r>
        <w:rPr>
          <w:rFonts w:ascii="Arial" w:hAnsi="Arial"/>
          <w:b/>
          <w:sz w:val="20"/>
          <w:lang w:val="it-IT"/>
        </w:rPr>
        <w:t xml:space="preserve"> di una nuova versione. La nuova custodia da tavolo è ottimizzata per integrare al meglio display tattili da 10.1" e offre, al contempo, notevolmente più spazio per l'assemblaggio di componenti elettronici di quanto non mettessero a disposizione le precedenti versioni di tale linea. Grazie ad una nuova tipologia di guarnizioni, la nuova Alu-Topline ATPH-IP 2385 offre il grado di protezione IP65 già nella versione standard. Quale optional sono disponibili anche guarnizioni decorative che mettono così in particolare risalto l'aspetto estetico della custodia. La nuova variante sarà disponibile a partire da giugno.</w:t>
      </w:r>
    </w:p>
    <w:p w14:paraId="0084127D" w14:textId="77777777" w:rsidR="007B3F3C" w:rsidRDefault="007B3F3C">
      <w:pPr>
        <w:spacing w:line="288" w:lineRule="auto"/>
        <w:rPr>
          <w:rFonts w:ascii="Arial" w:hAnsi="Arial"/>
          <w:sz w:val="20"/>
          <w:lang w:val="it-IT"/>
        </w:rPr>
      </w:pPr>
    </w:p>
    <w:p w14:paraId="65C5F0A4" w14:textId="77777777" w:rsidR="007B3F3C" w:rsidRDefault="00463200">
      <w:pPr>
        <w:spacing w:line="280" w:lineRule="auto"/>
        <w:rPr>
          <w:rFonts w:ascii="Arial" w:hAnsi="Arial"/>
          <w:lang w:val="it-IT"/>
        </w:rPr>
      </w:pPr>
      <w:r>
        <w:rPr>
          <w:rFonts w:ascii="Arial" w:hAnsi="Arial"/>
          <w:sz w:val="20"/>
          <w:lang w:val="it-IT"/>
        </w:rPr>
        <w:t>Il corpo della custodia Alu-Topline di BOPLA è costituito da un profilato estruso in alluminio anodizzato naturale la cui lunghezza può essere liberamente adattata alle rispettive esigenze applicative. Le dimensioni della custodia sono inoltre perfettamente adeguate ad accogliere i classici display tattili da 7.0" e 10.1". Quali terminali per i profilati sono disponibili coperchi realizzati in ABS, nelle due colorazioni standard grigio grafite (simile RAL 7024) e nero (simile RAL 9005). Colori speciali disponibili su richiesta.</w:t>
      </w:r>
    </w:p>
    <w:p w14:paraId="75ADBC5C" w14:textId="77777777" w:rsidR="007B3F3C" w:rsidRDefault="007B3F3C">
      <w:pPr>
        <w:spacing w:line="288" w:lineRule="auto"/>
        <w:rPr>
          <w:rFonts w:ascii="Arial" w:hAnsi="Arial"/>
          <w:sz w:val="20"/>
          <w:lang w:val="it-IT"/>
        </w:rPr>
      </w:pPr>
    </w:p>
    <w:p w14:paraId="25201999" w14:textId="77777777" w:rsidR="007B3F3C" w:rsidRDefault="00463200">
      <w:pPr>
        <w:spacing w:line="280" w:lineRule="auto"/>
        <w:rPr>
          <w:rFonts w:ascii="Arial" w:hAnsi="Arial"/>
          <w:lang w:val="it-IT"/>
        </w:rPr>
      </w:pPr>
      <w:r>
        <w:rPr>
          <w:rFonts w:ascii="Arial" w:hAnsi="Arial"/>
          <w:sz w:val="20"/>
          <w:lang w:val="it-IT"/>
        </w:rPr>
        <w:t xml:space="preserve">Il profilato per custodie in versione divisa permette un comodo accesso allo spazio interno e un rapido montaggio dei componenti elettronici. Il guscio inferiore della nuova ATPH-IP 2385 dispone, sul lato inferiore, di diverse scanalature per tasselli scorrevoli a inserimento – ad esempio per il sistema di montaggio a parete VESA – e, in alternativa, anche di incavi per viti utilizzabili per il montaggio di PCB. </w:t>
      </w:r>
    </w:p>
    <w:p w14:paraId="5B82C5F1" w14:textId="77777777" w:rsidR="007B3F3C" w:rsidRDefault="007B3F3C">
      <w:pPr>
        <w:spacing w:line="288" w:lineRule="auto"/>
        <w:rPr>
          <w:rFonts w:ascii="Arial" w:hAnsi="Arial"/>
          <w:sz w:val="20"/>
          <w:lang w:val="it-IT"/>
        </w:rPr>
      </w:pPr>
    </w:p>
    <w:p w14:paraId="42F093B4" w14:textId="77777777" w:rsidR="007B3F3C" w:rsidRDefault="00463200">
      <w:pPr>
        <w:spacing w:line="280" w:lineRule="auto"/>
        <w:rPr>
          <w:rFonts w:ascii="Arial" w:hAnsi="Arial"/>
          <w:lang w:val="it-IT"/>
        </w:rPr>
      </w:pPr>
      <w:r>
        <w:rPr>
          <w:rFonts w:ascii="Arial" w:hAnsi="Arial"/>
          <w:sz w:val="20"/>
          <w:lang w:val="it-IT"/>
        </w:rPr>
        <w:t xml:space="preserve">Tra gli accessori della linea di custodie Alu-Topline troviamo, oltre a diversi sistemi per il montaggio a parete, anche strisce isolanti per il montaggio di PCB sul profilato e piedini in gomma. </w:t>
      </w:r>
    </w:p>
    <w:p w14:paraId="225F4279" w14:textId="77777777" w:rsidR="007B3F3C" w:rsidRDefault="007B3F3C">
      <w:pPr>
        <w:spacing w:line="288" w:lineRule="auto"/>
        <w:rPr>
          <w:rFonts w:ascii="Arial" w:hAnsi="Arial"/>
          <w:sz w:val="20"/>
          <w:lang w:val="it-IT"/>
        </w:rPr>
      </w:pPr>
    </w:p>
    <w:p w14:paraId="3B85ECE1" w14:textId="77777777" w:rsidR="007B3F3C" w:rsidRDefault="00463200">
      <w:pPr>
        <w:spacing w:line="280" w:lineRule="auto"/>
        <w:rPr>
          <w:rFonts w:ascii="Arial" w:hAnsi="Arial"/>
          <w:lang w:val="it-IT"/>
        </w:rPr>
      </w:pPr>
      <w:r>
        <w:rPr>
          <w:rFonts w:ascii="Arial" w:hAnsi="Arial"/>
          <w:sz w:val="20"/>
          <w:lang w:val="it-IT"/>
        </w:rPr>
        <w:t xml:space="preserve">Le varianti originarie ATPH 18xx della custodia Alu-Topline, dispongono, di serie, il grado di protezione IP40. Abbinando la guarnizione a corda o-ring, premontata dal costruttore, con una guarnizione in TPE, consente di ottenere il grado di protezione a IP54. </w:t>
      </w:r>
    </w:p>
    <w:p w14:paraId="1BDD542C" w14:textId="77777777" w:rsidR="007B3F3C" w:rsidRDefault="007B3F3C">
      <w:pPr>
        <w:spacing w:line="288" w:lineRule="auto"/>
        <w:rPr>
          <w:rFonts w:ascii="Arial" w:hAnsi="Arial"/>
          <w:sz w:val="20"/>
          <w:lang w:val="it-IT"/>
        </w:rPr>
      </w:pPr>
    </w:p>
    <w:p w14:paraId="14F2ED0F" w14:textId="77777777" w:rsidR="00EA0295" w:rsidRPr="00242676" w:rsidRDefault="00EA0295" w:rsidP="00EA0295">
      <w:pPr>
        <w:spacing w:line="288" w:lineRule="auto"/>
        <w:rPr>
          <w:rFonts w:ascii="Arial" w:hAnsi="Arial" w:cs="Arial"/>
          <w:sz w:val="20"/>
          <w:szCs w:val="20"/>
          <w:lang w:val="it-IT"/>
        </w:rPr>
      </w:pPr>
      <w:r w:rsidRPr="00242676">
        <w:rPr>
          <w:rFonts w:ascii="Arial" w:hAnsi="Arial" w:cs="Arial"/>
          <w:sz w:val="20"/>
          <w:szCs w:val="20"/>
          <w:lang w:val="it-IT"/>
        </w:rPr>
        <w:t>(</w:t>
      </w:r>
      <w:r>
        <w:rPr>
          <w:rFonts w:ascii="Arial" w:hAnsi="Arial" w:cs="Arial"/>
          <w:sz w:val="20"/>
          <w:szCs w:val="20"/>
          <w:lang w:val="it-IT"/>
        </w:rPr>
        <w:t>2.270</w:t>
      </w:r>
      <w:r w:rsidRPr="00242676">
        <w:rPr>
          <w:rFonts w:ascii="Arial" w:hAnsi="Arial" w:cs="Arial"/>
          <w:sz w:val="20"/>
          <w:szCs w:val="20"/>
          <w:lang w:val="it-IT"/>
        </w:rPr>
        <w:t xml:space="preserve"> </w:t>
      </w:r>
      <w:r>
        <w:rPr>
          <w:rFonts w:ascii="Arial" w:hAnsi="Arial"/>
          <w:sz w:val="20"/>
          <w:lang w:val="it-IT"/>
        </w:rPr>
        <w:t>caratteri, spazi compresi</w:t>
      </w:r>
      <w:r w:rsidRPr="00242676">
        <w:rPr>
          <w:rFonts w:ascii="Arial" w:hAnsi="Arial" w:cs="Arial"/>
          <w:sz w:val="20"/>
          <w:szCs w:val="20"/>
          <w:lang w:val="it-IT"/>
        </w:rPr>
        <w:t>)</w:t>
      </w:r>
    </w:p>
    <w:p w14:paraId="467D2075" w14:textId="77777777" w:rsidR="00EA0295" w:rsidRDefault="00EA0295" w:rsidP="00EA0295">
      <w:pPr>
        <w:spacing w:line="288" w:lineRule="auto"/>
        <w:rPr>
          <w:rFonts w:ascii="Arial" w:hAnsi="Arial" w:cs="Arial"/>
          <w:sz w:val="20"/>
          <w:szCs w:val="20"/>
          <w:lang w:val="it-IT"/>
        </w:rPr>
      </w:pPr>
    </w:p>
    <w:p w14:paraId="4952F155" w14:textId="77777777" w:rsidR="00EA0295" w:rsidRPr="00242676" w:rsidRDefault="00EA0295" w:rsidP="00EA0295">
      <w:pPr>
        <w:spacing w:line="288" w:lineRule="auto"/>
        <w:rPr>
          <w:rFonts w:ascii="Arial" w:hAnsi="Arial" w:cs="Arial"/>
          <w:b/>
          <w:sz w:val="20"/>
          <w:szCs w:val="20"/>
          <w:lang w:val="it-IT"/>
        </w:rPr>
      </w:pPr>
    </w:p>
    <w:p w14:paraId="0E013900" w14:textId="77777777" w:rsidR="00EA0295" w:rsidRDefault="00EA0295" w:rsidP="00EA0295">
      <w:pPr>
        <w:spacing w:line="280" w:lineRule="auto"/>
        <w:rPr>
          <w:rFonts w:ascii="Arial" w:hAnsi="Arial"/>
          <w:b/>
          <w:sz w:val="20"/>
          <w:lang w:val="it-IT"/>
        </w:rPr>
      </w:pPr>
      <w:r>
        <w:rPr>
          <w:rFonts w:ascii="Arial" w:hAnsi="Arial"/>
          <w:b/>
          <w:sz w:val="20"/>
          <w:lang w:val="it-IT"/>
        </w:rPr>
        <w:t>Chi siamo</w:t>
      </w:r>
    </w:p>
    <w:p w14:paraId="5FF476C9" w14:textId="77777777" w:rsidR="00EA0295" w:rsidRDefault="00EA0295" w:rsidP="00EA0295">
      <w:pPr>
        <w:spacing w:line="280" w:lineRule="auto"/>
        <w:rPr>
          <w:rFonts w:ascii="Arial" w:hAnsi="Arial"/>
          <w:lang w:val="it-IT"/>
        </w:rPr>
      </w:pPr>
      <w:r>
        <w:rPr>
          <w:rFonts w:ascii="Arial" w:hAnsi="Arial"/>
          <w:sz w:val="20"/>
          <w:lang w:val="it-IT"/>
        </w:rPr>
        <w:t>La Bopla Gehäuse Systeme GmbH, azienda sita nella cittadina tedesca di Bünde, nella Vestfalia orientale, opera da oltre 50 anni nel settore dell'elettronica per il quale sviluppa e produce custodie in plastica e in alluminio idonee alle specifiche realtà applicative, nonché unità di input quali basate su touch screen e tastiere a membrana. I nostri prodotti personalizzati ai requisiti applicativi trovano tra l'altro impiego nei campi dei dispositivi di misura, controllo e regolazione, delle costruzioni meccaniche, nonché della tecnica medicale e ferroviaria.</w:t>
      </w:r>
    </w:p>
    <w:p w14:paraId="407DE94B" w14:textId="77777777" w:rsidR="00EA0295" w:rsidRDefault="00EA0295" w:rsidP="00EA0295">
      <w:pPr>
        <w:spacing w:line="280" w:lineRule="auto"/>
        <w:rPr>
          <w:rFonts w:ascii="Arial" w:hAnsi="Arial"/>
          <w:lang w:val="it-IT"/>
        </w:rPr>
      </w:pPr>
      <w:r>
        <w:rPr>
          <w:rFonts w:ascii="Arial" w:hAnsi="Arial"/>
          <w:sz w:val="20"/>
          <w:lang w:val="it-IT"/>
        </w:rPr>
        <w:lastRenderedPageBreak/>
        <w:t>Per i nostri clienti mettiamo in atto non solo la produzione della custodia, ma anche la lavorazione meccanica, la stampa e l'equipaggiamento della stessa. Su richiesta effettuiamo il montaggio completo dell'applicazione compresi i relativi test di collaudo e funzionali ed eseguiamo l'integrazione di tastiere a membrana e display tattili.</w:t>
      </w:r>
    </w:p>
    <w:p w14:paraId="396BA7C8" w14:textId="77777777" w:rsidR="00EA0295" w:rsidRDefault="00EA0295" w:rsidP="00EA0295">
      <w:pPr>
        <w:spacing w:line="280" w:lineRule="auto"/>
        <w:rPr>
          <w:rFonts w:ascii="Arial" w:hAnsi="Arial"/>
          <w:lang w:val="it-IT"/>
        </w:rPr>
      </w:pPr>
      <w:r>
        <w:rPr>
          <w:rFonts w:ascii="Arial" w:hAnsi="Arial"/>
          <w:sz w:val="20"/>
          <w:lang w:val="it-IT"/>
        </w:rPr>
        <w:t xml:space="preserve">La nostra azienda è conosciuta non solo per l'offerta di soluzioni personalizzate realizzate su specifica del cliente, ma anche per una gamma di prodotti standard eccezionalmente vasta sempre disponibili a magazzino. Questo ha fatto di BOPLA uno dei marchi leader a livello internazionale nel settore delle custodie per l'elettronica, con un'azienda che è sempre al fianco dei propri clienti sia a livello di consulenza che realizzativo in ogni fase dei loro progetti di sviluppo. </w:t>
      </w:r>
    </w:p>
    <w:p w14:paraId="72106CB5" w14:textId="77777777" w:rsidR="00EA0295" w:rsidRDefault="00EA0295" w:rsidP="00EA0295">
      <w:pPr>
        <w:spacing w:line="280" w:lineRule="auto"/>
        <w:rPr>
          <w:rFonts w:ascii="Arial" w:hAnsi="Arial"/>
          <w:lang w:val="it-IT"/>
        </w:rPr>
      </w:pPr>
      <w:r>
        <w:rPr>
          <w:rFonts w:ascii="Arial" w:hAnsi="Arial"/>
          <w:sz w:val="20"/>
          <w:lang w:val="it-IT"/>
        </w:rPr>
        <w:t xml:space="preserve">A partire dal 2021, la Casa di Bünde distribuisce, inoltre, le nuove e innovative tecnologie HMI della Kundisch GmbH integrandole nei suoi sistemi di custodie high end. </w:t>
      </w:r>
    </w:p>
    <w:p w14:paraId="7B275FC6" w14:textId="77777777" w:rsidR="00EA0295" w:rsidRDefault="00EA0295" w:rsidP="00EA0295">
      <w:pPr>
        <w:spacing w:line="280" w:lineRule="auto"/>
        <w:rPr>
          <w:rFonts w:ascii="Arial" w:hAnsi="Arial"/>
          <w:lang w:val="it-IT"/>
        </w:rPr>
      </w:pPr>
      <w:r>
        <w:rPr>
          <w:rFonts w:ascii="Arial" w:hAnsi="Arial"/>
          <w:sz w:val="20"/>
          <w:lang w:val="it-IT"/>
        </w:rPr>
        <w:t>BOPLA è forte di un organico di circa 500 addetti distribuiti tra i diversi siti produttivi e commerciali in tutto il mondo, di cui oltre 200 in attività presso la Casa madre di Bünde. Quale affiliata del gruppo svizzero Phoenix Mecano AG siamo presenti, con i nostri prodotti e servizi, in tutto il mondo.</w:t>
      </w:r>
    </w:p>
    <w:p w14:paraId="3092313B" w14:textId="77777777" w:rsidR="00EA0295" w:rsidRPr="00EA0295" w:rsidRDefault="00EA0295" w:rsidP="00EA0295">
      <w:pPr>
        <w:spacing w:line="288" w:lineRule="auto"/>
        <w:rPr>
          <w:rFonts w:ascii="Arial" w:hAnsi="Arial" w:cs="Arial"/>
          <w:sz w:val="20"/>
          <w:szCs w:val="20"/>
          <w:lang w:val="es-ES"/>
        </w:rPr>
      </w:pPr>
      <w:r>
        <w:rPr>
          <w:lang w:val="it-IT"/>
        </w:rPr>
        <w:t xml:space="preserve">Per ulteriori informazioni, vedere al sito </w:t>
      </w:r>
      <w:hyperlink r:id="rId8" w:history="1">
        <w:r w:rsidRPr="00EA0295">
          <w:rPr>
            <w:rStyle w:val="Hyperlink"/>
            <w:rFonts w:ascii="Arial" w:hAnsi="Arial" w:cs="Arial"/>
            <w:sz w:val="20"/>
            <w:szCs w:val="20"/>
            <w:lang w:val="es-ES"/>
          </w:rPr>
          <w:t>www.bopla.de</w:t>
        </w:r>
      </w:hyperlink>
      <w:r w:rsidRPr="00EA0295">
        <w:rPr>
          <w:rFonts w:ascii="Arial" w:hAnsi="Arial" w:cs="Arial"/>
          <w:sz w:val="20"/>
          <w:szCs w:val="20"/>
          <w:lang w:val="es-ES"/>
        </w:rPr>
        <w:t>.</w:t>
      </w:r>
    </w:p>
    <w:p w14:paraId="73777979" w14:textId="77777777" w:rsidR="00EA0295" w:rsidRPr="00EA0295" w:rsidRDefault="00EA0295" w:rsidP="00EA0295">
      <w:pPr>
        <w:spacing w:line="288" w:lineRule="auto"/>
        <w:rPr>
          <w:rFonts w:ascii="Arial" w:hAnsi="Arial" w:cs="Arial"/>
          <w:sz w:val="20"/>
          <w:szCs w:val="20"/>
          <w:lang w:val="es-ES"/>
        </w:rPr>
      </w:pPr>
    </w:p>
    <w:p w14:paraId="497C1D61" w14:textId="77777777" w:rsidR="00EA0295" w:rsidRPr="00242676" w:rsidRDefault="00EA0295" w:rsidP="00EA0295">
      <w:pPr>
        <w:spacing w:line="288" w:lineRule="auto"/>
        <w:rPr>
          <w:rFonts w:ascii="Arial" w:hAnsi="Arial" w:cs="Arial"/>
          <w:sz w:val="20"/>
          <w:szCs w:val="20"/>
          <w:lang w:val="fr-FR"/>
        </w:rPr>
      </w:pPr>
      <w:r w:rsidRPr="00242676">
        <w:rPr>
          <w:rFonts w:ascii="Arial" w:hAnsi="Arial" w:cs="Arial"/>
          <w:sz w:val="20"/>
          <w:szCs w:val="20"/>
          <w:lang w:val="fr-FR"/>
        </w:rPr>
        <w:t xml:space="preserve">(1.916 </w:t>
      </w:r>
      <w:r>
        <w:rPr>
          <w:rFonts w:ascii="Arial" w:hAnsi="Arial"/>
          <w:sz w:val="20"/>
          <w:lang w:val="it-IT"/>
        </w:rPr>
        <w:t>caratteri, spazi compresi</w:t>
      </w:r>
      <w:r w:rsidRPr="00242676">
        <w:rPr>
          <w:rFonts w:ascii="Arial" w:hAnsi="Arial" w:cs="Arial"/>
          <w:sz w:val="20"/>
          <w:szCs w:val="20"/>
          <w:lang w:val="fr-FR"/>
        </w:rPr>
        <w:t>)</w:t>
      </w:r>
    </w:p>
    <w:p w14:paraId="397FE6FC" w14:textId="77777777" w:rsidR="00EA0295" w:rsidRDefault="00EA0295" w:rsidP="00EA0295">
      <w:pPr>
        <w:spacing w:line="288" w:lineRule="auto"/>
        <w:rPr>
          <w:rFonts w:ascii="Arial" w:hAnsi="Arial"/>
          <w:sz w:val="20"/>
          <w:lang w:val="it-IT"/>
        </w:rPr>
      </w:pPr>
    </w:p>
    <w:p w14:paraId="7ACD15BA" w14:textId="77777777" w:rsidR="007B3F3C" w:rsidRDefault="007B3F3C">
      <w:pPr>
        <w:spacing w:line="288" w:lineRule="auto"/>
        <w:rPr>
          <w:rFonts w:ascii="Arial" w:hAnsi="Arial"/>
          <w:sz w:val="20"/>
          <w:lang w:val="it-IT"/>
        </w:rPr>
      </w:pPr>
    </w:p>
    <w:p w14:paraId="28C78C03" w14:textId="77777777" w:rsidR="007B3F3C" w:rsidRDefault="00463200">
      <w:pPr>
        <w:spacing w:line="280" w:lineRule="auto"/>
        <w:rPr>
          <w:rFonts w:ascii="Arial" w:hAnsi="Arial"/>
          <w:b/>
          <w:sz w:val="20"/>
          <w:lang w:val="it-IT"/>
        </w:rPr>
      </w:pPr>
      <w:r>
        <w:rPr>
          <w:rFonts w:ascii="Arial" w:hAnsi="Arial"/>
          <w:b/>
          <w:sz w:val="20"/>
          <w:lang w:val="it-IT"/>
        </w:rPr>
        <w:t>Immagine d'insieme</w:t>
      </w:r>
    </w:p>
    <w:p w14:paraId="0A532A48" w14:textId="77777777" w:rsidR="007B3F3C" w:rsidRDefault="007B3F3C">
      <w:pPr>
        <w:spacing w:line="288" w:lineRule="auto"/>
        <w:rPr>
          <w:rFonts w:ascii="Arial" w:hAnsi="Arial"/>
          <w:b/>
          <w:sz w:val="20"/>
          <w:lang w:val="it-IT"/>
        </w:rPr>
      </w:pPr>
    </w:p>
    <w:p w14:paraId="3389C1CE" w14:textId="77777777" w:rsidR="007B3F3C" w:rsidRDefault="006C1F35">
      <w:pPr>
        <w:spacing w:line="288" w:lineRule="auto"/>
        <w:rPr>
          <w:rFonts w:ascii="Arial" w:hAnsi="Arial"/>
          <w:b/>
          <w:sz w:val="20"/>
          <w:lang w:val="it-IT"/>
        </w:rPr>
      </w:pPr>
      <w:r>
        <w:rPr>
          <w:rFonts w:ascii="Arial" w:hAnsi="Arial"/>
          <w:b/>
          <w:noProof/>
          <w:snapToGrid/>
          <w:sz w:val="20"/>
        </w:rPr>
        <w:drawing>
          <wp:inline distT="0" distB="0" distL="0" distR="0" wp14:anchorId="41AB9A76" wp14:editId="6F517828">
            <wp:extent cx="3049270" cy="2166620"/>
            <wp:effectExtent l="19050" t="0" r="0" b="0"/>
            <wp:docPr id="3" name="Grafik 1" descr="Ein Bild, das drinnen, weiß, Drucker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drinnen, weiß, Drucker enthält.Automatisch generierte Beschreibung"/>
                    <pic:cNvPicPr>
                      <a:picLocks noChangeAspect="1" noChangeArrowheads="1"/>
                    </pic:cNvPicPr>
                  </pic:nvPicPr>
                  <pic:blipFill>
                    <a:blip r:embed="rId9"/>
                    <a:srcRect/>
                    <a:stretch>
                      <a:fillRect/>
                    </a:stretch>
                  </pic:blipFill>
                  <pic:spPr bwMode="auto">
                    <a:xfrm>
                      <a:off x="0" y="0"/>
                      <a:ext cx="3049270" cy="2166620"/>
                    </a:xfrm>
                    <a:prstGeom prst="rect">
                      <a:avLst/>
                    </a:prstGeom>
                    <a:noFill/>
                    <a:ln w="9525">
                      <a:noFill/>
                      <a:miter lim="800000"/>
                      <a:headEnd/>
                      <a:tailEnd/>
                    </a:ln>
                  </pic:spPr>
                </pic:pic>
              </a:graphicData>
            </a:graphic>
          </wp:inline>
        </w:drawing>
      </w:r>
    </w:p>
    <w:p w14:paraId="46DCD7C6" w14:textId="77777777" w:rsidR="007B3F3C" w:rsidRDefault="00EA0295">
      <w:pPr>
        <w:spacing w:line="280" w:lineRule="auto"/>
        <w:rPr>
          <w:rFonts w:ascii="Arial" w:hAnsi="Arial"/>
          <w:lang w:val="it-IT"/>
        </w:rPr>
      </w:pPr>
      <w:r w:rsidRPr="00EA0295">
        <w:rPr>
          <w:rFonts w:ascii="Arial" w:hAnsi="Arial" w:cs="Arial"/>
          <w:b/>
          <w:sz w:val="20"/>
          <w:szCs w:val="20"/>
          <w:lang w:val="it-IT"/>
        </w:rPr>
        <w:t>AluTopline_Gruppe.jpg:</w:t>
      </w:r>
      <w:r w:rsidRPr="00EA0295">
        <w:rPr>
          <w:rFonts w:ascii="Arial" w:hAnsi="Arial" w:cs="Arial"/>
          <w:sz w:val="20"/>
          <w:szCs w:val="20"/>
          <w:lang w:val="it-IT"/>
        </w:rPr>
        <w:t xml:space="preserve"> </w:t>
      </w:r>
      <w:r w:rsidR="00463200">
        <w:rPr>
          <w:rFonts w:ascii="Arial" w:hAnsi="Arial"/>
          <w:sz w:val="20"/>
          <w:lang w:val="it-IT"/>
        </w:rPr>
        <w:t>BOPLA amplia il sistema di custodie Alu-Topline con un nuovo modello (</w:t>
      </w:r>
      <w:r w:rsidR="00AD0DFC">
        <w:rPr>
          <w:rFonts w:ascii="Arial" w:hAnsi="Arial"/>
          <w:sz w:val="20"/>
          <w:lang w:val="it-IT"/>
        </w:rPr>
        <w:t>in primo piano</w:t>
      </w:r>
      <w:r w:rsidR="00463200">
        <w:rPr>
          <w:rFonts w:ascii="Arial" w:hAnsi="Arial"/>
          <w:sz w:val="20"/>
          <w:lang w:val="it-IT"/>
        </w:rPr>
        <w:t xml:space="preserve">): la ATPH 2365-IP offre, oltre ad ancora più spazio per l'installazione di componenti e il grado di protezione IP65 di serie, anche la possibilità di integrare un ampio display tattile da 10.1" – </w:t>
      </w:r>
      <w:r w:rsidR="00463200">
        <w:rPr>
          <w:rFonts w:ascii="Arial" w:hAnsi="Arial"/>
          <w:i/>
          <w:sz w:val="20"/>
          <w:lang w:val="it-IT"/>
        </w:rPr>
        <w:t>Immagini fornite da: Bopla Gehäuse Systeme GmbH</w:t>
      </w:r>
    </w:p>
    <w:p w14:paraId="214E9BE7" w14:textId="77777777" w:rsidR="007B3F3C" w:rsidRDefault="007B3F3C">
      <w:pPr>
        <w:spacing w:line="288" w:lineRule="auto"/>
        <w:rPr>
          <w:rFonts w:ascii="Arial" w:hAnsi="Arial"/>
          <w:sz w:val="20"/>
          <w:lang w:val="it-IT"/>
        </w:rPr>
      </w:pPr>
    </w:p>
    <w:p w14:paraId="5FBF9FA5" w14:textId="77777777" w:rsidR="007B3F3C" w:rsidRDefault="007B3F3C">
      <w:pPr>
        <w:spacing w:line="288" w:lineRule="auto"/>
        <w:rPr>
          <w:rFonts w:ascii="Arial" w:hAnsi="Arial"/>
          <w:sz w:val="20"/>
          <w:lang w:val="it-IT"/>
        </w:rPr>
      </w:pPr>
    </w:p>
    <w:p w14:paraId="555C55A8" w14:textId="77777777" w:rsidR="007B3F3C" w:rsidRDefault="00463200">
      <w:pPr>
        <w:spacing w:line="280" w:lineRule="auto"/>
        <w:rPr>
          <w:rFonts w:ascii="Arial" w:hAnsi="Arial"/>
          <w:b/>
          <w:sz w:val="20"/>
          <w:lang w:val="it-IT"/>
        </w:rPr>
      </w:pPr>
      <w:r>
        <w:rPr>
          <w:rFonts w:ascii="Arial" w:hAnsi="Arial"/>
          <w:b/>
          <w:noProof/>
          <w:sz w:val="20"/>
          <w:lang w:val="it-IT"/>
        </w:rPr>
        <w:t>Meta Title</w:t>
      </w:r>
    </w:p>
    <w:p w14:paraId="524EEA44" w14:textId="77777777" w:rsidR="007B3F3C" w:rsidRDefault="00463200">
      <w:pPr>
        <w:spacing w:line="280" w:lineRule="auto"/>
        <w:rPr>
          <w:rFonts w:ascii="Arial" w:hAnsi="Arial"/>
          <w:sz w:val="20"/>
          <w:lang w:val="it-IT"/>
        </w:rPr>
      </w:pPr>
      <w:r>
        <w:rPr>
          <w:rFonts w:ascii="Arial" w:hAnsi="Arial"/>
          <w:sz w:val="20"/>
          <w:lang w:val="it-IT"/>
        </w:rPr>
        <w:t>Nuova custodia da tavolo di BOPLA</w:t>
      </w:r>
    </w:p>
    <w:p w14:paraId="387E238C" w14:textId="77777777" w:rsidR="007B3F3C" w:rsidRDefault="007B3F3C">
      <w:pPr>
        <w:spacing w:line="288" w:lineRule="auto"/>
        <w:rPr>
          <w:rFonts w:ascii="Arial" w:hAnsi="Arial"/>
          <w:b/>
          <w:sz w:val="20"/>
          <w:lang w:val="it-IT"/>
        </w:rPr>
      </w:pPr>
    </w:p>
    <w:p w14:paraId="5A267A77" w14:textId="77777777" w:rsidR="007B3F3C" w:rsidRDefault="00463200">
      <w:pPr>
        <w:spacing w:line="288" w:lineRule="auto"/>
        <w:rPr>
          <w:rFonts w:ascii="Arial" w:hAnsi="Arial"/>
          <w:b/>
          <w:sz w:val="20"/>
          <w:lang w:val="it-IT"/>
        </w:rPr>
      </w:pPr>
      <w:r>
        <w:rPr>
          <w:rFonts w:ascii="Arial" w:hAnsi="Arial"/>
          <w:b/>
          <w:noProof/>
          <w:sz w:val="20"/>
          <w:lang w:val="it-IT"/>
        </w:rPr>
        <w:t>Meta Tag</w:t>
      </w:r>
    </w:p>
    <w:p w14:paraId="11350173" w14:textId="77777777" w:rsidR="007B3F3C" w:rsidRDefault="00463200">
      <w:pPr>
        <w:spacing w:line="280" w:lineRule="auto"/>
        <w:rPr>
          <w:rFonts w:ascii="Arial" w:hAnsi="Arial"/>
          <w:sz w:val="20"/>
          <w:lang w:val="it-IT"/>
        </w:rPr>
      </w:pPr>
      <w:r>
        <w:rPr>
          <w:rFonts w:ascii="Arial" w:hAnsi="Arial"/>
          <w:sz w:val="20"/>
          <w:lang w:val="it-IT"/>
        </w:rPr>
        <w:t>BOPLA amplia il suo sistema di custodie Alu-Topline con un nuovo modello dotato di display tattile da 10.1", più spazio per il montaggio di componenti e il grado di protezione IP65</w:t>
      </w:r>
    </w:p>
    <w:p w14:paraId="39854091" w14:textId="77777777" w:rsidR="007B3F3C" w:rsidRDefault="007B3F3C">
      <w:pPr>
        <w:spacing w:line="288" w:lineRule="auto"/>
        <w:rPr>
          <w:rFonts w:ascii="Arial" w:hAnsi="Arial"/>
          <w:sz w:val="20"/>
          <w:lang w:val="it-IT"/>
        </w:rPr>
      </w:pPr>
    </w:p>
    <w:p w14:paraId="480ABF76" w14:textId="77777777" w:rsidR="007B3F3C" w:rsidRDefault="00463200">
      <w:pPr>
        <w:spacing w:line="288" w:lineRule="auto"/>
        <w:rPr>
          <w:rFonts w:ascii="Arial" w:hAnsi="Arial"/>
          <w:b/>
          <w:sz w:val="20"/>
          <w:lang w:val="it-IT"/>
        </w:rPr>
      </w:pPr>
      <w:r>
        <w:rPr>
          <w:rFonts w:ascii="Arial" w:hAnsi="Arial"/>
          <w:b/>
          <w:noProof/>
          <w:sz w:val="20"/>
          <w:lang w:val="it-IT"/>
        </w:rPr>
        <w:lastRenderedPageBreak/>
        <w:t>Keywords</w:t>
      </w:r>
    </w:p>
    <w:p w14:paraId="5F5FE1F7" w14:textId="77777777" w:rsidR="007B3F3C" w:rsidRDefault="00463200">
      <w:pPr>
        <w:spacing w:line="280" w:lineRule="auto"/>
        <w:rPr>
          <w:rFonts w:ascii="Arial" w:hAnsi="Arial"/>
          <w:sz w:val="20"/>
          <w:lang w:val="it-IT"/>
        </w:rPr>
      </w:pPr>
      <w:r>
        <w:rPr>
          <w:rFonts w:ascii="Arial" w:hAnsi="Arial"/>
          <w:sz w:val="20"/>
          <w:lang w:val="it-IT"/>
        </w:rPr>
        <w:t>custodie per elettronica touch display, involucri per elettronica touch display, display tattili, display tattile, custodie da tavolo alluminio, involucri da tavolo alluminio, custodie da tavolo touch display, involucri da tavolo touch display, custodie in alluminio montaggio a parete, involucri in alluminio montaggio a parete, BOPLA</w:t>
      </w:r>
    </w:p>
    <w:p w14:paraId="7C6CA13C" w14:textId="77777777" w:rsidR="007B3F3C" w:rsidRDefault="007B3F3C">
      <w:pPr>
        <w:spacing w:line="288" w:lineRule="auto"/>
        <w:rPr>
          <w:rFonts w:ascii="Arial" w:hAnsi="Arial"/>
          <w:sz w:val="20"/>
          <w:lang w:val="it-IT"/>
        </w:rPr>
      </w:pPr>
    </w:p>
    <w:p w14:paraId="6E727933" w14:textId="77777777" w:rsidR="00463200" w:rsidRDefault="00463200">
      <w:pPr>
        <w:spacing w:line="288" w:lineRule="auto"/>
        <w:rPr>
          <w:rFonts w:ascii="Arial" w:hAnsi="Arial"/>
          <w:sz w:val="20"/>
          <w:lang w:val="it-IT"/>
        </w:rPr>
      </w:pPr>
    </w:p>
    <w:p w14:paraId="38A083DA" w14:textId="77777777" w:rsidR="00EA0295" w:rsidRPr="00EA0295" w:rsidRDefault="00EA0295" w:rsidP="00EA0295">
      <w:pPr>
        <w:spacing w:line="288" w:lineRule="auto"/>
        <w:rPr>
          <w:rFonts w:ascii="Arial" w:hAnsi="Arial" w:cs="Arial"/>
          <w:b/>
          <w:sz w:val="20"/>
          <w:szCs w:val="20"/>
          <w:lang w:val="it-IT"/>
        </w:rPr>
      </w:pPr>
      <w:r w:rsidRPr="00EA0295">
        <w:rPr>
          <w:rFonts w:ascii="Arial" w:hAnsi="Arial" w:cs="Arial"/>
          <w:b/>
          <w:sz w:val="20"/>
          <w:szCs w:val="20"/>
          <w:lang w:val="it-IT"/>
        </w:rPr>
        <w:t>Deeplinks</w:t>
      </w:r>
    </w:p>
    <w:p w14:paraId="00EF1273" w14:textId="77777777" w:rsidR="00EA0295" w:rsidRPr="00EA0295" w:rsidRDefault="00813174" w:rsidP="00EA0295">
      <w:pPr>
        <w:spacing w:line="288" w:lineRule="auto"/>
        <w:rPr>
          <w:rFonts w:ascii="Arial" w:hAnsi="Arial" w:cs="Arial"/>
          <w:sz w:val="20"/>
          <w:szCs w:val="20"/>
          <w:lang w:val="it-IT"/>
        </w:rPr>
      </w:pPr>
      <w:hyperlink r:id="rId10" w:history="1">
        <w:r w:rsidR="00EA0295" w:rsidRPr="00EA0295">
          <w:rPr>
            <w:rStyle w:val="Hyperlink"/>
            <w:rFonts w:ascii="Arial" w:hAnsi="Arial" w:cs="Arial"/>
            <w:sz w:val="20"/>
            <w:szCs w:val="20"/>
            <w:lang w:val="it-IT"/>
          </w:rPr>
          <w:t>https://www.bopla.de</w:t>
        </w:r>
      </w:hyperlink>
    </w:p>
    <w:p w14:paraId="6EA3677E" w14:textId="77777777" w:rsidR="00EA0295" w:rsidRPr="00EA0295" w:rsidRDefault="00813174" w:rsidP="00EA0295">
      <w:pPr>
        <w:rPr>
          <w:lang w:val="it-IT"/>
        </w:rPr>
      </w:pPr>
      <w:hyperlink r:id="rId11" w:tooltip="https://www.bopla.de/gehaeusetechnik/product/alu-topline.html" w:history="1">
        <w:r w:rsidR="00EA0295" w:rsidRPr="00EA0295">
          <w:rPr>
            <w:rFonts w:ascii="Arial" w:hAnsi="Arial" w:cs="Arial"/>
            <w:color w:val="0563C1"/>
            <w:sz w:val="20"/>
            <w:szCs w:val="20"/>
            <w:u w:val="single"/>
            <w:lang w:val="it-IT"/>
          </w:rPr>
          <w:t>https://www.bopla.de/gehaeusetechnik/product/alu-topline.html</w:t>
        </w:r>
      </w:hyperlink>
    </w:p>
    <w:p w14:paraId="0DC642F1" w14:textId="77777777" w:rsidR="00EA0295" w:rsidRDefault="00EA0295">
      <w:pPr>
        <w:spacing w:line="288" w:lineRule="auto"/>
        <w:rPr>
          <w:rFonts w:ascii="Arial" w:hAnsi="Arial"/>
          <w:sz w:val="20"/>
          <w:lang w:val="it-IT"/>
        </w:rPr>
      </w:pPr>
    </w:p>
    <w:p w14:paraId="0A02C170" w14:textId="77777777" w:rsidR="00EA0295" w:rsidRDefault="00EA0295">
      <w:pPr>
        <w:spacing w:line="288" w:lineRule="auto"/>
        <w:rPr>
          <w:rFonts w:ascii="Arial" w:hAnsi="Arial"/>
          <w:sz w:val="20"/>
          <w:lang w:val="it-IT"/>
        </w:rPr>
      </w:pPr>
    </w:p>
    <w:p w14:paraId="26C3ADC5" w14:textId="77777777" w:rsidR="00EA0295" w:rsidRDefault="00EA0295">
      <w:pPr>
        <w:spacing w:line="288" w:lineRule="auto"/>
        <w:rPr>
          <w:rFonts w:ascii="Arial" w:hAnsi="Arial"/>
          <w:sz w:val="20"/>
          <w:lang w:val="it-IT"/>
        </w:rPr>
      </w:pPr>
    </w:p>
    <w:p w14:paraId="3BEE2E5E" w14:textId="77777777" w:rsidR="00EA0295" w:rsidRDefault="00EA0295">
      <w:pPr>
        <w:spacing w:line="288" w:lineRule="auto"/>
        <w:rPr>
          <w:rFonts w:ascii="Arial" w:hAnsi="Arial"/>
          <w:sz w:val="20"/>
          <w:lang w:val="it-IT"/>
        </w:rPr>
      </w:pPr>
    </w:p>
    <w:p w14:paraId="3B7590C9" w14:textId="77777777" w:rsidR="00EA0295" w:rsidRPr="007055F1" w:rsidRDefault="00EA0295" w:rsidP="00EA0295">
      <w:pPr>
        <w:spacing w:line="288" w:lineRule="auto"/>
        <w:rPr>
          <w:rFonts w:ascii="Arial" w:hAnsi="Arial" w:cs="Arial"/>
          <w:sz w:val="20"/>
          <w:szCs w:val="20"/>
        </w:rPr>
      </w:pPr>
      <w:r>
        <w:rPr>
          <w:rFonts w:ascii="Arial" w:hAnsi="Arial"/>
          <w:b/>
          <w:sz w:val="20"/>
          <w:lang w:val="it-IT"/>
        </w:rPr>
        <w:t>Ufficio stampa</w:t>
      </w:r>
      <w:r>
        <w:rPr>
          <w:rFonts w:ascii="Arial" w:hAnsi="Arial"/>
          <w:b/>
          <w:sz w:val="20"/>
          <w:lang w:val="it-IT"/>
        </w:rPr>
        <w:br/>
      </w:r>
      <w:r w:rsidRPr="00F23643">
        <w:rPr>
          <w:rFonts w:ascii="Arial" w:hAnsi="Arial" w:cs="Arial"/>
          <w:sz w:val="20"/>
          <w:szCs w:val="20"/>
        </w:rPr>
        <w:t>Köhler + Partner GmbH</w:t>
      </w:r>
      <w:r w:rsidRPr="00F23643">
        <w:rPr>
          <w:rFonts w:ascii="Arial" w:hAnsi="Arial" w:cs="Arial"/>
          <w:sz w:val="20"/>
          <w:szCs w:val="20"/>
        </w:rPr>
        <w:br/>
        <w:t xml:space="preserve">Brauerstr. 42 </w:t>
      </w:r>
      <w:r w:rsidRPr="00F23643">
        <w:rPr>
          <w:rFonts w:ascii="Arial" w:hAnsi="Arial" w:cs="Arial"/>
          <w:sz w:val="20"/>
          <w:szCs w:val="20"/>
          <w:lang w:val="en-GB"/>
        </w:rPr>
        <w:sym w:font="Symbol" w:char="00B7"/>
      </w:r>
      <w:r w:rsidRPr="00F23643">
        <w:rPr>
          <w:rFonts w:ascii="Arial" w:hAnsi="Arial" w:cs="Arial"/>
          <w:sz w:val="20"/>
          <w:szCs w:val="20"/>
        </w:rPr>
        <w:t xml:space="preserve"> 21244 Buchholz i.d.N.</w:t>
      </w:r>
      <w:r w:rsidRPr="00F23643">
        <w:rPr>
          <w:rFonts w:ascii="Arial" w:hAnsi="Arial" w:cs="Arial"/>
          <w:sz w:val="20"/>
          <w:szCs w:val="20"/>
        </w:rPr>
        <w:br/>
        <w:t>Telefon</w:t>
      </w:r>
      <w:r>
        <w:rPr>
          <w:rFonts w:ascii="Arial" w:hAnsi="Arial" w:cs="Arial"/>
          <w:sz w:val="20"/>
          <w:szCs w:val="20"/>
        </w:rPr>
        <w:t>o</w:t>
      </w:r>
      <w:r w:rsidRPr="00F23643">
        <w:rPr>
          <w:rFonts w:ascii="Arial" w:hAnsi="Arial" w:cs="Arial"/>
          <w:sz w:val="20"/>
          <w:szCs w:val="20"/>
        </w:rPr>
        <w:t xml:space="preserve"> +49 4181 928928-0 </w:t>
      </w:r>
      <w:r w:rsidRPr="00F23643">
        <w:rPr>
          <w:rFonts w:ascii="Arial" w:hAnsi="Arial" w:cs="Arial"/>
          <w:sz w:val="20"/>
          <w:szCs w:val="20"/>
          <w:lang w:val="en-GB"/>
        </w:rPr>
        <w:sym w:font="Symbol" w:char="00B7"/>
      </w:r>
      <w:r w:rsidRPr="00F23643">
        <w:rPr>
          <w:rFonts w:ascii="Arial" w:hAnsi="Arial" w:cs="Arial"/>
          <w:sz w:val="20"/>
          <w:szCs w:val="20"/>
        </w:rPr>
        <w:t xml:space="preserve"> Fax +49 4181 928928-55</w:t>
      </w:r>
      <w:r w:rsidRPr="00F23643">
        <w:rPr>
          <w:rFonts w:ascii="Arial" w:hAnsi="Arial" w:cs="Arial"/>
          <w:sz w:val="20"/>
          <w:szCs w:val="20"/>
        </w:rPr>
        <w:br/>
        <w:t xml:space="preserve">info@koehler-partner.de </w:t>
      </w:r>
      <w:r w:rsidRPr="00F23643">
        <w:rPr>
          <w:rFonts w:ascii="Arial" w:hAnsi="Arial" w:cs="Arial"/>
          <w:sz w:val="20"/>
          <w:szCs w:val="20"/>
          <w:lang w:val="it-IT"/>
        </w:rPr>
        <w:sym w:font="Symbol" w:char="F0B7"/>
      </w:r>
      <w:r w:rsidRPr="00F23643">
        <w:rPr>
          <w:rFonts w:ascii="Arial" w:hAnsi="Arial" w:cs="Arial"/>
          <w:sz w:val="20"/>
          <w:szCs w:val="20"/>
        </w:rPr>
        <w:t xml:space="preserve"> www.koehler-partner.de</w:t>
      </w:r>
    </w:p>
    <w:p w14:paraId="2840312F" w14:textId="77777777" w:rsidR="00EA0295" w:rsidRPr="00EA0295" w:rsidRDefault="00EA0295" w:rsidP="00EA0295">
      <w:pPr>
        <w:spacing w:line="288" w:lineRule="auto"/>
        <w:rPr>
          <w:rFonts w:ascii="Arial" w:hAnsi="Arial"/>
          <w:sz w:val="20"/>
        </w:rPr>
      </w:pPr>
    </w:p>
    <w:sectPr w:rsidR="00EA0295" w:rsidRPr="00EA0295" w:rsidSect="007B3F3C">
      <w:headerReference w:type="default" r:id="rId12"/>
      <w:footerReference w:type="default" r:id="rId13"/>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97C2" w14:textId="77777777" w:rsidR="00E00171" w:rsidRDefault="00E00171">
      <w:r>
        <w:separator/>
      </w:r>
    </w:p>
  </w:endnote>
  <w:endnote w:type="continuationSeparator" w:id="0">
    <w:p w14:paraId="7FE821DE" w14:textId="77777777" w:rsidR="00E00171" w:rsidRDefault="00E0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B170" w14:textId="77777777" w:rsidR="007B3F3C" w:rsidRDefault="00463200">
    <w:pPr>
      <w:pStyle w:val="Fuzeile"/>
      <w:jc w:val="center"/>
      <w:rPr>
        <w:szCs w:val="24"/>
      </w:rPr>
    </w:pPr>
    <w:r>
      <w:rPr>
        <w:noProof/>
        <w:szCs w:val="24"/>
      </w:rPr>
      <w:t>Bopla Gehäuse Systeme GmbH</w:t>
    </w:r>
  </w:p>
  <w:p w14:paraId="44F4E197" w14:textId="77777777" w:rsidR="007B3F3C" w:rsidRDefault="00463200">
    <w:pPr>
      <w:pStyle w:val="Fuzeile"/>
      <w:jc w:val="center"/>
      <w:rPr>
        <w:szCs w:val="24"/>
      </w:rPr>
    </w:pPr>
    <w:r>
      <w:rPr>
        <w:noProof/>
        <w:szCs w:val="24"/>
      </w:rPr>
      <w:t>Borsigstr.</w:t>
    </w:r>
    <w:r>
      <w:rPr>
        <w:szCs w:val="24"/>
      </w:rPr>
      <w:t xml:space="preserve"> </w:t>
    </w:r>
    <w:r>
      <w:rPr>
        <w:noProof/>
        <w:szCs w:val="24"/>
      </w:rPr>
      <w:t>17-25 - 32257 Bünde</w:t>
    </w:r>
  </w:p>
  <w:p w14:paraId="017F37C6" w14:textId="77777777" w:rsidR="007B3F3C" w:rsidRDefault="00463200">
    <w:pPr>
      <w:pStyle w:val="Fuzeile"/>
      <w:jc w:val="center"/>
      <w:rPr>
        <w:szCs w:val="24"/>
      </w:rPr>
    </w:pPr>
    <w:r>
      <w:rPr>
        <w:noProof/>
        <w:szCs w:val="24"/>
      </w:rPr>
      <w:t>Tel.:</w:t>
    </w:r>
    <w:r>
      <w:rPr>
        <w:szCs w:val="24"/>
      </w:rPr>
      <w:t xml:space="preserve"> </w:t>
    </w:r>
    <w:r>
      <w:rPr>
        <w:noProof/>
        <w:szCs w:val="24"/>
      </w:rPr>
      <w:t>+49 5223 969-0 – Fax:</w:t>
    </w:r>
    <w:r>
      <w:rPr>
        <w:szCs w:val="24"/>
      </w:rPr>
      <w:t xml:space="preserve"> +49 5223 969-100</w:t>
    </w:r>
  </w:p>
  <w:p w14:paraId="088B5936" w14:textId="77777777" w:rsidR="007B3F3C" w:rsidRDefault="00463200">
    <w:pPr>
      <w:pStyle w:val="Fuzeile"/>
      <w:jc w:val="center"/>
      <w:rPr>
        <w:szCs w:val="24"/>
      </w:rPr>
    </w:pPr>
    <w:r>
      <w:rPr>
        <w:noProof/>
        <w:szCs w:val="24"/>
      </w:rPr>
      <w:t>Internet:</w:t>
    </w:r>
    <w:r>
      <w:rPr>
        <w:szCs w:val="24"/>
      </w:rPr>
      <w:t xml:space="preserve"> </w:t>
    </w:r>
    <w:hyperlink r:id="rId1" w:history="1">
      <w:r>
        <w:rPr>
          <w:rStyle w:val="Hyperlink"/>
          <w:noProof/>
          <w:szCs w:val="24"/>
          <w:u w:val="none"/>
        </w:rPr>
        <w:t>www.bopla.de</w:t>
      </w:r>
    </w:hyperlink>
    <w:r>
      <w:rPr>
        <w:noProof/>
        <w:szCs w:val="24"/>
      </w:rPr>
      <w:t xml:space="preserve"> – E-Mail:</w:t>
    </w:r>
    <w:r>
      <w:rPr>
        <w:szCs w:val="24"/>
      </w:rPr>
      <w:t xml:space="preserve"> </w:t>
    </w:r>
    <w:r>
      <w:rPr>
        <w:noProof/>
        <w:szCs w:val="24"/>
      </w:rPr>
      <w:t>info@bopla.de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87D3" w14:textId="77777777" w:rsidR="00E00171" w:rsidRDefault="00E00171">
      <w:r>
        <w:separator/>
      </w:r>
    </w:p>
  </w:footnote>
  <w:footnote w:type="continuationSeparator" w:id="0">
    <w:p w14:paraId="59AE623D" w14:textId="77777777" w:rsidR="00E00171" w:rsidRDefault="00E00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7623" w14:textId="77777777" w:rsidR="007B3F3C" w:rsidRDefault="007B3F3C">
    <w:pPr>
      <w:pStyle w:val="Kopfzeile"/>
      <w:rPr>
        <w:szCs w:val="24"/>
      </w:rPr>
    </w:pPr>
  </w:p>
  <w:p w14:paraId="1B00E6BF" w14:textId="77777777" w:rsidR="007B3F3C" w:rsidRDefault="00463200">
    <w:pPr>
      <w:pStyle w:val="Kopfzeile"/>
      <w:rPr>
        <w:i/>
        <w:sz w:val="44"/>
        <w:szCs w:val="24"/>
      </w:rPr>
    </w:pPr>
    <w:r>
      <w:rPr>
        <w:i/>
        <w:sz w:val="44"/>
        <w:szCs w:val="24"/>
        <w:lang w:val="it-IT"/>
      </w:rPr>
      <w:t>Comunicato stampa</w:t>
    </w:r>
    <w:r>
      <w:rPr>
        <w:i/>
        <w:sz w:val="44"/>
        <w:szCs w:val="24"/>
      </w:rPr>
      <w:tab/>
    </w:r>
    <w:r>
      <w:rPr>
        <w:i/>
        <w:sz w:val="44"/>
        <w:szCs w:val="24"/>
      </w:rPr>
      <w:tab/>
    </w:r>
    <w:r w:rsidR="006C1F35">
      <w:rPr>
        <w:noProof/>
        <w:snapToGrid/>
        <w:szCs w:val="24"/>
      </w:rPr>
      <w:drawing>
        <wp:inline distT="0" distB="0" distL="0" distR="0" wp14:anchorId="10337894" wp14:editId="21A56DDB">
          <wp:extent cx="1069340" cy="652145"/>
          <wp:effectExtent l="1905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srcRect/>
                  <a:stretch>
                    <a:fillRect/>
                  </a:stretch>
                </pic:blipFill>
                <pic:spPr bwMode="auto">
                  <a:xfrm>
                    <a:off x="0" y="0"/>
                    <a:ext cx="1069340" cy="6521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76A9"/>
    <w:multiLevelType w:val="hybridMultilevel"/>
    <w:tmpl w:val="208E4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7F357E"/>
    <w:multiLevelType w:val="hybridMultilevel"/>
    <w:tmpl w:val="0F92C420"/>
    <w:lvl w:ilvl="0" w:tplc="6C00DA9C">
      <w:numFmt w:val="bullet"/>
      <w:lvlText w:val="•"/>
      <w:lvlJc w:val="left"/>
      <w:pPr>
        <w:ind w:left="1065" w:hanging="705"/>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7445B4"/>
    <w:multiLevelType w:val="hybridMultilevel"/>
    <w:tmpl w:val="CBBEDD56"/>
    <w:lvl w:ilvl="0" w:tplc="A178FA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94980164">
    <w:abstractNumId w:val="2"/>
  </w:num>
  <w:num w:numId="2" w16cid:durableId="1380781285">
    <w:abstractNumId w:val="0"/>
  </w:num>
  <w:num w:numId="3" w16cid:durableId="302388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81"/>
    <w:rsid w:val="00013209"/>
    <w:rsid w:val="00022A1D"/>
    <w:rsid w:val="000347BA"/>
    <w:rsid w:val="00035CD5"/>
    <w:rsid w:val="00050B31"/>
    <w:rsid w:val="00054A99"/>
    <w:rsid w:val="0006451A"/>
    <w:rsid w:val="000820E9"/>
    <w:rsid w:val="00082154"/>
    <w:rsid w:val="000A4863"/>
    <w:rsid w:val="000D534F"/>
    <w:rsid w:val="000E0B6F"/>
    <w:rsid w:val="000E2D10"/>
    <w:rsid w:val="00121B4E"/>
    <w:rsid w:val="00121CF4"/>
    <w:rsid w:val="001305FA"/>
    <w:rsid w:val="00132F00"/>
    <w:rsid w:val="00174B68"/>
    <w:rsid w:val="00176213"/>
    <w:rsid w:val="00181C41"/>
    <w:rsid w:val="0018280B"/>
    <w:rsid w:val="00184AE9"/>
    <w:rsid w:val="00185894"/>
    <w:rsid w:val="00193D14"/>
    <w:rsid w:val="001A525C"/>
    <w:rsid w:val="001A553E"/>
    <w:rsid w:val="001E1E7F"/>
    <w:rsid w:val="0020217D"/>
    <w:rsid w:val="00210081"/>
    <w:rsid w:val="00274D97"/>
    <w:rsid w:val="00287CD9"/>
    <w:rsid w:val="00296898"/>
    <w:rsid w:val="0029789B"/>
    <w:rsid w:val="00306103"/>
    <w:rsid w:val="003229F1"/>
    <w:rsid w:val="00370A22"/>
    <w:rsid w:val="00375460"/>
    <w:rsid w:val="003774FE"/>
    <w:rsid w:val="003A53BB"/>
    <w:rsid w:val="003B4E3D"/>
    <w:rsid w:val="003C238D"/>
    <w:rsid w:val="003D1F18"/>
    <w:rsid w:val="003D3400"/>
    <w:rsid w:val="003D5F18"/>
    <w:rsid w:val="004132A4"/>
    <w:rsid w:val="004170A3"/>
    <w:rsid w:val="00463200"/>
    <w:rsid w:val="00477BE9"/>
    <w:rsid w:val="00477C12"/>
    <w:rsid w:val="00481423"/>
    <w:rsid w:val="004A08F1"/>
    <w:rsid w:val="004C10BD"/>
    <w:rsid w:val="004D08BA"/>
    <w:rsid w:val="004E7EA3"/>
    <w:rsid w:val="00501274"/>
    <w:rsid w:val="0050179C"/>
    <w:rsid w:val="00522240"/>
    <w:rsid w:val="00536BAF"/>
    <w:rsid w:val="00536C10"/>
    <w:rsid w:val="0055656A"/>
    <w:rsid w:val="005614F4"/>
    <w:rsid w:val="00567F7C"/>
    <w:rsid w:val="00573837"/>
    <w:rsid w:val="00580B6E"/>
    <w:rsid w:val="005A68B6"/>
    <w:rsid w:val="005B0FE1"/>
    <w:rsid w:val="005B6722"/>
    <w:rsid w:val="005C1BCF"/>
    <w:rsid w:val="005E31B4"/>
    <w:rsid w:val="005F25C1"/>
    <w:rsid w:val="00625904"/>
    <w:rsid w:val="00660D32"/>
    <w:rsid w:val="006611A1"/>
    <w:rsid w:val="00684A82"/>
    <w:rsid w:val="006C1F35"/>
    <w:rsid w:val="006D000E"/>
    <w:rsid w:val="006D3C81"/>
    <w:rsid w:val="0070273D"/>
    <w:rsid w:val="007644EE"/>
    <w:rsid w:val="00766C34"/>
    <w:rsid w:val="00790EA8"/>
    <w:rsid w:val="007B3F3C"/>
    <w:rsid w:val="007E1A27"/>
    <w:rsid w:val="007F368E"/>
    <w:rsid w:val="007F6092"/>
    <w:rsid w:val="00803EF8"/>
    <w:rsid w:val="00804B7C"/>
    <w:rsid w:val="008112D8"/>
    <w:rsid w:val="00813174"/>
    <w:rsid w:val="00846787"/>
    <w:rsid w:val="0085744E"/>
    <w:rsid w:val="00861ED6"/>
    <w:rsid w:val="00863C63"/>
    <w:rsid w:val="008C7480"/>
    <w:rsid w:val="008D3F1F"/>
    <w:rsid w:val="00906C1C"/>
    <w:rsid w:val="0091242A"/>
    <w:rsid w:val="00956192"/>
    <w:rsid w:val="00971A77"/>
    <w:rsid w:val="009803D7"/>
    <w:rsid w:val="0098166F"/>
    <w:rsid w:val="0099055B"/>
    <w:rsid w:val="009A6DD7"/>
    <w:rsid w:val="00A13D28"/>
    <w:rsid w:val="00A2567F"/>
    <w:rsid w:val="00A34D95"/>
    <w:rsid w:val="00A626CA"/>
    <w:rsid w:val="00AC15D8"/>
    <w:rsid w:val="00AD0DFC"/>
    <w:rsid w:val="00AE5B4C"/>
    <w:rsid w:val="00AF6A61"/>
    <w:rsid w:val="00B17B9D"/>
    <w:rsid w:val="00B31DED"/>
    <w:rsid w:val="00B347D9"/>
    <w:rsid w:val="00B3508E"/>
    <w:rsid w:val="00B40F3D"/>
    <w:rsid w:val="00B53AD5"/>
    <w:rsid w:val="00B67244"/>
    <w:rsid w:val="00B75703"/>
    <w:rsid w:val="00B83204"/>
    <w:rsid w:val="00B91803"/>
    <w:rsid w:val="00BA2B26"/>
    <w:rsid w:val="00BB09B8"/>
    <w:rsid w:val="00BB413C"/>
    <w:rsid w:val="00BC4DD6"/>
    <w:rsid w:val="00BE5969"/>
    <w:rsid w:val="00BE62C5"/>
    <w:rsid w:val="00C1794E"/>
    <w:rsid w:val="00C273F4"/>
    <w:rsid w:val="00C32EDE"/>
    <w:rsid w:val="00C378EC"/>
    <w:rsid w:val="00C60CE2"/>
    <w:rsid w:val="00C64411"/>
    <w:rsid w:val="00C6521A"/>
    <w:rsid w:val="00C65425"/>
    <w:rsid w:val="00C6710E"/>
    <w:rsid w:val="00C70F24"/>
    <w:rsid w:val="00C82F87"/>
    <w:rsid w:val="00C86B1F"/>
    <w:rsid w:val="00C870AE"/>
    <w:rsid w:val="00C87D80"/>
    <w:rsid w:val="00CB2498"/>
    <w:rsid w:val="00CC15A8"/>
    <w:rsid w:val="00CC5DD0"/>
    <w:rsid w:val="00CD33EB"/>
    <w:rsid w:val="00CD3598"/>
    <w:rsid w:val="00CD7CD6"/>
    <w:rsid w:val="00CE2FB3"/>
    <w:rsid w:val="00CE722E"/>
    <w:rsid w:val="00D21532"/>
    <w:rsid w:val="00D35409"/>
    <w:rsid w:val="00D425ED"/>
    <w:rsid w:val="00D52799"/>
    <w:rsid w:val="00D61BC3"/>
    <w:rsid w:val="00D62A10"/>
    <w:rsid w:val="00D67FB6"/>
    <w:rsid w:val="00D77846"/>
    <w:rsid w:val="00D96C71"/>
    <w:rsid w:val="00DA7D08"/>
    <w:rsid w:val="00DB1E0A"/>
    <w:rsid w:val="00DC0907"/>
    <w:rsid w:val="00DC38A9"/>
    <w:rsid w:val="00DD4B7E"/>
    <w:rsid w:val="00DE6381"/>
    <w:rsid w:val="00E00171"/>
    <w:rsid w:val="00E552F2"/>
    <w:rsid w:val="00E7593D"/>
    <w:rsid w:val="00E77058"/>
    <w:rsid w:val="00E819C2"/>
    <w:rsid w:val="00E8227D"/>
    <w:rsid w:val="00E84234"/>
    <w:rsid w:val="00E929EB"/>
    <w:rsid w:val="00EA0295"/>
    <w:rsid w:val="00EA23F5"/>
    <w:rsid w:val="00EC1AB2"/>
    <w:rsid w:val="00ED2E6A"/>
    <w:rsid w:val="00EE5D48"/>
    <w:rsid w:val="00EE5F85"/>
    <w:rsid w:val="00EE604E"/>
    <w:rsid w:val="00F07191"/>
    <w:rsid w:val="00F1426D"/>
    <w:rsid w:val="00F14376"/>
    <w:rsid w:val="00F153E2"/>
    <w:rsid w:val="00F230A4"/>
    <w:rsid w:val="00F23643"/>
    <w:rsid w:val="00F2383E"/>
    <w:rsid w:val="00F26BA7"/>
    <w:rsid w:val="00F27AEE"/>
    <w:rsid w:val="00F41FF1"/>
    <w:rsid w:val="00F426D4"/>
    <w:rsid w:val="00F67361"/>
    <w:rsid w:val="00F93DD5"/>
    <w:rsid w:val="00FA5D6F"/>
    <w:rsid w:val="00FB25F6"/>
    <w:rsid w:val="00FB2799"/>
    <w:rsid w:val="00FB476C"/>
    <w:rsid w:val="00FC6A59"/>
    <w:rsid w:val="00FC7671"/>
    <w:rsid w:val="00FC76BD"/>
    <w:rsid w:val="00FE08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6A52D"/>
  <w15:docId w15:val="{EF1DEF60-B2D9-464D-97EC-F05DCA20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de-DE" w:eastAsia="de-DE"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F3C"/>
    <w:pPr>
      <w:spacing w:line="240" w:lineRule="auto"/>
    </w:pPr>
    <w:rPr>
      <w:rFonts w:asciiTheme="minorBidi" w:hAnsiTheme="minorBidi" w:cstheme="minorBidi"/>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points">
    <w:name w:val="Bulletpoints"/>
    <w:basedOn w:val="Listenabsatz"/>
    <w:qFormat/>
    <w:rsid w:val="007B3F3C"/>
    <w:pPr>
      <w:spacing w:after="60"/>
      <w:ind w:left="714"/>
      <w:contextualSpacing w:val="0"/>
    </w:pPr>
  </w:style>
  <w:style w:type="character" w:customStyle="1" w:styleId="BulletpointsZchn">
    <w:name w:val="Bulletpoints Zchn"/>
    <w:basedOn w:val="Absatz-Standardschriftart"/>
    <w:locked/>
    <w:rsid w:val="007B3F3C"/>
    <w:rPr>
      <w:rFonts w:cstheme="minorBidi"/>
    </w:rPr>
  </w:style>
  <w:style w:type="paragraph" w:styleId="Listenabsatz">
    <w:name w:val="List Paragraph"/>
    <w:basedOn w:val="Standard"/>
    <w:uiPriority w:val="34"/>
    <w:qFormat/>
    <w:rsid w:val="007B3F3C"/>
    <w:pPr>
      <w:ind w:left="720"/>
      <w:contextualSpacing/>
    </w:pPr>
    <w:rPr>
      <w:rFonts w:asciiTheme="minorHAnsi" w:hAnsiTheme="minorHAnsi"/>
      <w:sz w:val="22"/>
      <w:szCs w:val="22"/>
    </w:rPr>
  </w:style>
  <w:style w:type="paragraph" w:styleId="Kopfzeile">
    <w:name w:val="header"/>
    <w:basedOn w:val="Standard"/>
    <w:link w:val="KopfzeileZchn"/>
    <w:uiPriority w:val="99"/>
    <w:rsid w:val="007B3F3C"/>
    <w:pPr>
      <w:tabs>
        <w:tab w:val="center" w:pos="4536"/>
        <w:tab w:val="right" w:pos="9072"/>
      </w:tabs>
    </w:pPr>
    <w:rPr>
      <w:rFonts w:asciiTheme="minorHAnsi" w:hAnsiTheme="minorHAnsi"/>
      <w:sz w:val="22"/>
      <w:szCs w:val="22"/>
    </w:rPr>
  </w:style>
  <w:style w:type="character" w:customStyle="1" w:styleId="KopfzeileZchn">
    <w:name w:val="Kopfzeile Zchn"/>
    <w:basedOn w:val="Absatz-Standardschriftart"/>
    <w:link w:val="Kopfzeile"/>
    <w:uiPriority w:val="99"/>
    <w:locked/>
    <w:rsid w:val="007B3F3C"/>
    <w:rPr>
      <w:rFonts w:cstheme="minorBidi"/>
    </w:rPr>
  </w:style>
  <w:style w:type="paragraph" w:styleId="Fuzeile">
    <w:name w:val="footer"/>
    <w:basedOn w:val="Standard"/>
    <w:link w:val="FuzeileZchn"/>
    <w:uiPriority w:val="99"/>
    <w:rsid w:val="007B3F3C"/>
    <w:pPr>
      <w:tabs>
        <w:tab w:val="center" w:pos="4536"/>
        <w:tab w:val="right" w:pos="9072"/>
      </w:tabs>
    </w:pPr>
    <w:rPr>
      <w:rFonts w:asciiTheme="minorHAnsi" w:hAnsiTheme="minorHAnsi"/>
      <w:sz w:val="22"/>
      <w:szCs w:val="22"/>
    </w:rPr>
  </w:style>
  <w:style w:type="character" w:customStyle="1" w:styleId="FuzeileZchn">
    <w:name w:val="Fußzeile Zchn"/>
    <w:basedOn w:val="Absatz-Standardschriftart"/>
    <w:link w:val="Fuzeile"/>
    <w:uiPriority w:val="99"/>
    <w:locked/>
    <w:rsid w:val="007B3F3C"/>
    <w:rPr>
      <w:rFonts w:cstheme="minorBidi"/>
    </w:rPr>
  </w:style>
  <w:style w:type="paragraph" w:styleId="Sprechblasentext">
    <w:name w:val="Balloon Text"/>
    <w:basedOn w:val="Standard"/>
    <w:link w:val="SprechblasentextZchn"/>
    <w:uiPriority w:val="99"/>
    <w:semiHidden/>
    <w:rsid w:val="007B3F3C"/>
    <w:rPr>
      <w:sz w:val="16"/>
      <w:szCs w:val="16"/>
    </w:rPr>
  </w:style>
  <w:style w:type="character" w:customStyle="1" w:styleId="SprechblasentextZchn">
    <w:name w:val="Sprechblasentext Zchn"/>
    <w:basedOn w:val="Absatz-Standardschriftart"/>
    <w:link w:val="Sprechblasentext"/>
    <w:uiPriority w:val="99"/>
    <w:semiHidden/>
    <w:locked/>
    <w:rsid w:val="007B3F3C"/>
    <w:rPr>
      <w:rFonts w:asciiTheme="minorBidi" w:hAnsiTheme="minorBidi" w:cstheme="minorBidi"/>
      <w:sz w:val="16"/>
      <w:szCs w:val="16"/>
    </w:rPr>
  </w:style>
  <w:style w:type="character" w:styleId="Hyperlink">
    <w:name w:val="Hyperlink"/>
    <w:basedOn w:val="Absatz-Standardschriftart"/>
    <w:uiPriority w:val="99"/>
    <w:rsid w:val="007B3F3C"/>
    <w:rPr>
      <w:rFonts w:cstheme="minorBidi"/>
      <w:color w:val="000000"/>
      <w:u w:val="single"/>
    </w:rPr>
  </w:style>
  <w:style w:type="character" w:styleId="Kommentarzeichen">
    <w:name w:val="annotation reference"/>
    <w:basedOn w:val="Absatz-Standardschriftart"/>
    <w:uiPriority w:val="99"/>
    <w:semiHidden/>
    <w:rsid w:val="007B3F3C"/>
    <w:rPr>
      <w:rFonts w:cstheme="minorBidi"/>
      <w:sz w:val="18"/>
      <w:szCs w:val="18"/>
    </w:rPr>
  </w:style>
  <w:style w:type="paragraph" w:styleId="Kommentartext">
    <w:name w:val="annotation text"/>
    <w:basedOn w:val="Standard"/>
    <w:link w:val="KommentartextZchn"/>
    <w:uiPriority w:val="99"/>
    <w:semiHidden/>
    <w:rsid w:val="007B3F3C"/>
    <w:rPr>
      <w:rFonts w:asciiTheme="minorHAnsi" w:hAnsiTheme="minorHAnsi"/>
    </w:rPr>
  </w:style>
  <w:style w:type="character" w:customStyle="1" w:styleId="KommentartextZchn">
    <w:name w:val="Kommentartext Zchn"/>
    <w:basedOn w:val="Absatz-Standardschriftart"/>
    <w:link w:val="Kommentartext"/>
    <w:uiPriority w:val="99"/>
    <w:semiHidden/>
    <w:locked/>
    <w:rsid w:val="007B3F3C"/>
    <w:rPr>
      <w:rFonts w:cstheme="minorBidi"/>
      <w:sz w:val="24"/>
      <w:szCs w:val="24"/>
    </w:rPr>
  </w:style>
  <w:style w:type="paragraph" w:styleId="Kommentarthema">
    <w:name w:val="annotation subject"/>
    <w:basedOn w:val="Kommentartext"/>
    <w:next w:val="Kommentartext"/>
    <w:link w:val="KommentarthemaZchn"/>
    <w:uiPriority w:val="99"/>
    <w:semiHidden/>
    <w:rsid w:val="007B3F3C"/>
    <w:rPr>
      <w:b/>
      <w:bCs/>
      <w:sz w:val="20"/>
      <w:szCs w:val="20"/>
    </w:rPr>
  </w:style>
  <w:style w:type="character" w:customStyle="1" w:styleId="KommentarthemaZchn">
    <w:name w:val="Kommentarthema Zchn"/>
    <w:basedOn w:val="KommentartextZchn"/>
    <w:link w:val="Kommentarthema"/>
    <w:uiPriority w:val="99"/>
    <w:semiHidden/>
    <w:locked/>
    <w:rsid w:val="007B3F3C"/>
    <w:rPr>
      <w:rFonts w:cstheme="minorBidi"/>
      <w:b/>
      <w:bCs/>
      <w:sz w:val="20"/>
      <w:szCs w:val="20"/>
    </w:rPr>
  </w:style>
  <w:style w:type="character" w:customStyle="1" w:styleId="NichtaufgelsteErwhnung1">
    <w:name w:val="Nicht aufgelöste Erwähnung1"/>
    <w:basedOn w:val="Absatz-Standardschriftart"/>
    <w:uiPriority w:val="99"/>
    <w:rsid w:val="007B3F3C"/>
    <w:rPr>
      <w:rFonts w:cstheme="minorBidi"/>
      <w:color w:val="605E5C"/>
      <w:shd w:val="clear" w:color="auto" w:fill="E1DFDD"/>
    </w:rPr>
  </w:style>
  <w:style w:type="character" w:customStyle="1" w:styleId="NichtaufgelsteErwhnung2">
    <w:name w:val="Nicht aufgelöste Erwähnung2"/>
    <w:basedOn w:val="Absatz-Standardschriftart"/>
    <w:uiPriority w:val="99"/>
    <w:rsid w:val="007B3F3C"/>
    <w:rPr>
      <w:rFonts w:cstheme="minorBidi"/>
      <w:color w:val="605E5C"/>
      <w:shd w:val="clear" w:color="auto" w:fill="E1DFDD"/>
    </w:rPr>
  </w:style>
  <w:style w:type="paragraph" w:styleId="berarbeitung">
    <w:name w:val="Revision"/>
    <w:hidden/>
    <w:uiPriority w:val="99"/>
    <w:semiHidden/>
    <w:rsid w:val="007B3F3C"/>
    <w:pPr>
      <w:spacing w:line="240" w:lineRule="auto"/>
    </w:pPr>
    <w:rPr>
      <w:rFonts w:asciiTheme="minorBidi" w:hAnsiTheme="minorBidi" w:cstheme="minorBidi"/>
      <w:snapToGrid w:val="0"/>
      <w:sz w:val="24"/>
      <w:szCs w:val="24"/>
    </w:rPr>
  </w:style>
  <w:style w:type="character" w:customStyle="1" w:styleId="tw4winMark">
    <w:name w:val="tw4winMark"/>
    <w:uiPriority w:val="99"/>
    <w:rsid w:val="007B3F3C"/>
    <w:rPr>
      <w:rFonts w:ascii="Courier New" w:hAnsi="Courier New"/>
      <w:vanish/>
      <w:color w:val="800080"/>
      <w:sz w:val="24"/>
      <w:vertAlign w:val="subscript"/>
    </w:rPr>
  </w:style>
  <w:style w:type="character" w:customStyle="1" w:styleId="tw4winError">
    <w:name w:val="tw4winError"/>
    <w:uiPriority w:val="99"/>
    <w:rsid w:val="007B3F3C"/>
    <w:rPr>
      <w:rFonts w:ascii="Courier New" w:hAnsi="Courier New"/>
      <w:color w:val="00FF00"/>
      <w:sz w:val="40"/>
    </w:rPr>
  </w:style>
  <w:style w:type="character" w:customStyle="1" w:styleId="tw4winTerm">
    <w:name w:val="tw4winTerm"/>
    <w:uiPriority w:val="99"/>
    <w:rsid w:val="007B3F3C"/>
    <w:rPr>
      <w:color w:val="0000FF"/>
    </w:rPr>
  </w:style>
  <w:style w:type="character" w:customStyle="1" w:styleId="tw4winPopup">
    <w:name w:val="tw4winPopup"/>
    <w:uiPriority w:val="99"/>
    <w:rsid w:val="007B3F3C"/>
    <w:rPr>
      <w:rFonts w:ascii="Courier New" w:hAnsi="Courier New"/>
      <w:noProof/>
      <w:color w:val="008000"/>
    </w:rPr>
  </w:style>
  <w:style w:type="character" w:customStyle="1" w:styleId="tw4winJump">
    <w:name w:val="tw4winJump"/>
    <w:uiPriority w:val="99"/>
    <w:rsid w:val="007B3F3C"/>
    <w:rPr>
      <w:rFonts w:ascii="Courier New" w:hAnsi="Courier New"/>
      <w:noProof/>
      <w:color w:val="008080"/>
    </w:rPr>
  </w:style>
  <w:style w:type="character" w:customStyle="1" w:styleId="tw4winExternal">
    <w:name w:val="tw4winExternal"/>
    <w:uiPriority w:val="99"/>
    <w:rsid w:val="007B3F3C"/>
    <w:rPr>
      <w:rFonts w:ascii="Courier New" w:hAnsi="Courier New"/>
      <w:noProof/>
      <w:color w:val="808080"/>
    </w:rPr>
  </w:style>
  <w:style w:type="character" w:customStyle="1" w:styleId="tw4winInternal">
    <w:name w:val="tw4winInternal"/>
    <w:uiPriority w:val="99"/>
    <w:rsid w:val="007B3F3C"/>
    <w:rPr>
      <w:rFonts w:ascii="Courier New" w:hAnsi="Courier New"/>
      <w:noProof/>
      <w:color w:val="FF0000"/>
    </w:rPr>
  </w:style>
  <w:style w:type="character" w:customStyle="1" w:styleId="DONOTTRANSLATE">
    <w:name w:val="DO_NOT_TRANSLATE"/>
    <w:uiPriority w:val="99"/>
    <w:rsid w:val="007B3F3C"/>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46703">
      <w:marLeft w:val="0"/>
      <w:marRight w:val="0"/>
      <w:marTop w:val="0"/>
      <w:marBottom w:val="0"/>
      <w:divBdr>
        <w:top w:val="none" w:sz="0" w:space="0" w:color="auto"/>
        <w:left w:val="none" w:sz="0" w:space="0" w:color="auto"/>
        <w:bottom w:val="none" w:sz="0" w:space="0" w:color="auto"/>
        <w:right w:val="none" w:sz="0" w:space="0" w:color="auto"/>
      </w:divBdr>
    </w:div>
    <w:div w:id="596446704">
      <w:marLeft w:val="0"/>
      <w:marRight w:val="0"/>
      <w:marTop w:val="0"/>
      <w:marBottom w:val="0"/>
      <w:divBdr>
        <w:top w:val="none" w:sz="0" w:space="0" w:color="auto"/>
        <w:left w:val="none" w:sz="0" w:space="0" w:color="auto"/>
        <w:bottom w:val="none" w:sz="0" w:space="0" w:color="auto"/>
        <w:right w:val="none" w:sz="0" w:space="0" w:color="auto"/>
      </w:divBdr>
    </w:div>
    <w:div w:id="596446705">
      <w:marLeft w:val="0"/>
      <w:marRight w:val="0"/>
      <w:marTop w:val="0"/>
      <w:marBottom w:val="0"/>
      <w:divBdr>
        <w:top w:val="none" w:sz="0" w:space="0" w:color="auto"/>
        <w:left w:val="none" w:sz="0" w:space="0" w:color="auto"/>
        <w:bottom w:val="none" w:sz="0" w:space="0" w:color="auto"/>
        <w:right w:val="none" w:sz="0" w:space="0" w:color="auto"/>
      </w:divBdr>
    </w:div>
    <w:div w:id="596446706">
      <w:marLeft w:val="0"/>
      <w:marRight w:val="0"/>
      <w:marTop w:val="0"/>
      <w:marBottom w:val="0"/>
      <w:divBdr>
        <w:top w:val="none" w:sz="0" w:space="0" w:color="auto"/>
        <w:left w:val="none" w:sz="0" w:space="0" w:color="auto"/>
        <w:bottom w:val="none" w:sz="0" w:space="0" w:color="auto"/>
        <w:right w:val="none" w:sz="0" w:space="0" w:color="auto"/>
      </w:divBdr>
    </w:div>
    <w:div w:id="596446707">
      <w:marLeft w:val="0"/>
      <w:marRight w:val="0"/>
      <w:marTop w:val="0"/>
      <w:marBottom w:val="0"/>
      <w:divBdr>
        <w:top w:val="none" w:sz="0" w:space="0" w:color="auto"/>
        <w:left w:val="none" w:sz="0" w:space="0" w:color="auto"/>
        <w:bottom w:val="none" w:sz="0" w:space="0" w:color="auto"/>
        <w:right w:val="none" w:sz="0" w:space="0" w:color="auto"/>
      </w:divBdr>
    </w:div>
    <w:div w:id="596446708">
      <w:marLeft w:val="0"/>
      <w:marRight w:val="0"/>
      <w:marTop w:val="0"/>
      <w:marBottom w:val="0"/>
      <w:divBdr>
        <w:top w:val="none" w:sz="0" w:space="0" w:color="auto"/>
        <w:left w:val="none" w:sz="0" w:space="0" w:color="auto"/>
        <w:bottom w:val="none" w:sz="0" w:space="0" w:color="auto"/>
        <w:right w:val="none" w:sz="0" w:space="0" w:color="auto"/>
      </w:divBdr>
    </w:div>
    <w:div w:id="596446709">
      <w:marLeft w:val="0"/>
      <w:marRight w:val="0"/>
      <w:marTop w:val="0"/>
      <w:marBottom w:val="0"/>
      <w:divBdr>
        <w:top w:val="none" w:sz="0" w:space="0" w:color="auto"/>
        <w:left w:val="none" w:sz="0" w:space="0" w:color="auto"/>
        <w:bottom w:val="none" w:sz="0" w:space="0" w:color="auto"/>
        <w:right w:val="none" w:sz="0" w:space="0" w:color="auto"/>
      </w:divBdr>
    </w:div>
    <w:div w:id="596446710">
      <w:marLeft w:val="0"/>
      <w:marRight w:val="0"/>
      <w:marTop w:val="0"/>
      <w:marBottom w:val="0"/>
      <w:divBdr>
        <w:top w:val="none" w:sz="0" w:space="0" w:color="auto"/>
        <w:left w:val="none" w:sz="0" w:space="0" w:color="auto"/>
        <w:bottom w:val="none" w:sz="0" w:space="0" w:color="auto"/>
        <w:right w:val="none" w:sz="0" w:space="0" w:color="auto"/>
      </w:divBdr>
    </w:div>
    <w:div w:id="596446711">
      <w:marLeft w:val="0"/>
      <w:marRight w:val="0"/>
      <w:marTop w:val="0"/>
      <w:marBottom w:val="0"/>
      <w:divBdr>
        <w:top w:val="none" w:sz="0" w:space="0" w:color="auto"/>
        <w:left w:val="none" w:sz="0" w:space="0" w:color="auto"/>
        <w:bottom w:val="none" w:sz="0" w:space="0" w:color="auto"/>
        <w:right w:val="none" w:sz="0" w:space="0" w:color="auto"/>
      </w:divBdr>
    </w:div>
    <w:div w:id="596446712">
      <w:marLeft w:val="0"/>
      <w:marRight w:val="0"/>
      <w:marTop w:val="0"/>
      <w:marBottom w:val="0"/>
      <w:divBdr>
        <w:top w:val="none" w:sz="0" w:space="0" w:color="auto"/>
        <w:left w:val="none" w:sz="0" w:space="0" w:color="auto"/>
        <w:bottom w:val="none" w:sz="0" w:space="0" w:color="auto"/>
        <w:right w:val="none" w:sz="0" w:space="0" w:color="auto"/>
      </w:divBdr>
    </w:div>
    <w:div w:id="596446713">
      <w:marLeft w:val="0"/>
      <w:marRight w:val="0"/>
      <w:marTop w:val="0"/>
      <w:marBottom w:val="0"/>
      <w:divBdr>
        <w:top w:val="none" w:sz="0" w:space="0" w:color="auto"/>
        <w:left w:val="none" w:sz="0" w:space="0" w:color="auto"/>
        <w:bottom w:val="none" w:sz="0" w:space="0" w:color="auto"/>
        <w:right w:val="none" w:sz="0" w:space="0" w:color="auto"/>
      </w:divBdr>
    </w:div>
    <w:div w:id="596446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pla.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pla.de/gehaeusetechnik/product/alu-toplin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opla.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pl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Ira">
      <a:dk1>
        <a:srgbClr val="7F7F7F"/>
      </a:dk1>
      <a:lt1>
        <a:srgbClr val="FFFFFF"/>
      </a:lt1>
      <a:dk2>
        <a:srgbClr val="1F497D"/>
      </a:dk2>
      <a:lt2>
        <a:srgbClr val="FDEADA"/>
      </a:lt2>
      <a:accent1>
        <a:srgbClr val="F79646"/>
      </a:accent1>
      <a:accent2>
        <a:srgbClr val="C00000"/>
      </a:accent2>
      <a:accent3>
        <a:srgbClr val="9BBB59"/>
      </a:accent3>
      <a:accent4>
        <a:srgbClr val="8064A2"/>
      </a:accent4>
      <a:accent5>
        <a:srgbClr val="366092"/>
      </a:accent5>
      <a:accent6>
        <a:srgbClr val="002060"/>
      </a:accent6>
      <a:hlink>
        <a:srgbClr val="000000"/>
      </a:hlink>
      <a:folHlink>
        <a:srgbClr val="3660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31DAE-44B0-449E-AC76-68DFC9B7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4996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Ifina</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Schroers</dc:creator>
  <cp:lastModifiedBy>Kristin Buschmeier</cp:lastModifiedBy>
  <cp:revision>3</cp:revision>
  <dcterms:created xsi:type="dcterms:W3CDTF">2022-05-02T14:52:00Z</dcterms:created>
  <dcterms:modified xsi:type="dcterms:W3CDTF">2022-05-19T12:46:00Z</dcterms:modified>
</cp:coreProperties>
</file>