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F4E" w14:textId="77777777" w:rsidR="00B91803" w:rsidRDefault="00B91803" w:rsidP="0055656A">
      <w:pPr>
        <w:spacing w:line="288" w:lineRule="auto"/>
        <w:jc w:val="right"/>
        <w:rPr>
          <w:rFonts w:ascii="Arial" w:hAnsi="Arial" w:cs="Arial"/>
          <w:sz w:val="20"/>
          <w:szCs w:val="20"/>
        </w:rPr>
      </w:pPr>
    </w:p>
    <w:p w14:paraId="794D5C7F" w14:textId="5A4C4224" w:rsidR="006D3C81" w:rsidRPr="0055656A" w:rsidRDefault="00D2464E" w:rsidP="0055656A">
      <w:pPr>
        <w:spacing w:line="288" w:lineRule="auto"/>
        <w:jc w:val="right"/>
        <w:rPr>
          <w:rFonts w:ascii="Arial" w:hAnsi="Arial" w:cs="Arial"/>
          <w:sz w:val="20"/>
          <w:szCs w:val="20"/>
        </w:rPr>
      </w:pPr>
      <w:r>
        <w:rPr>
          <w:rFonts w:ascii="Arial" w:hAnsi="Arial" w:cs="Arial"/>
          <w:sz w:val="20"/>
        </w:rPr>
        <w:t>16</w:t>
      </w:r>
      <w:r w:rsidR="00F153E2">
        <w:rPr>
          <w:rFonts w:ascii="Arial" w:hAnsi="Arial" w:cs="Arial"/>
          <w:sz w:val="20"/>
        </w:rPr>
        <w:t xml:space="preserve"> de </w:t>
      </w:r>
      <w:r>
        <w:rPr>
          <w:rFonts w:ascii="Arial" w:hAnsi="Arial" w:cs="Arial"/>
          <w:sz w:val="20"/>
        </w:rPr>
        <w:t>Mayo</w:t>
      </w:r>
      <w:r w:rsidR="00F153E2">
        <w:rPr>
          <w:rFonts w:ascii="Arial" w:hAnsi="Arial" w:cs="Arial"/>
          <w:sz w:val="20"/>
        </w:rPr>
        <w:t xml:space="preserve"> de 2022</w:t>
      </w:r>
    </w:p>
    <w:p w14:paraId="27E27A2F" w14:textId="77777777" w:rsidR="006D3C81" w:rsidRPr="0055656A" w:rsidRDefault="006D3C81" w:rsidP="0055656A">
      <w:pPr>
        <w:spacing w:line="288" w:lineRule="auto"/>
        <w:rPr>
          <w:rFonts w:ascii="Arial" w:hAnsi="Arial" w:cs="Arial"/>
          <w:sz w:val="20"/>
          <w:szCs w:val="20"/>
        </w:rPr>
      </w:pPr>
    </w:p>
    <w:p w14:paraId="36763544" w14:textId="77777777" w:rsidR="006D3C81" w:rsidRPr="0055656A" w:rsidRDefault="006D3C81" w:rsidP="0055656A">
      <w:pPr>
        <w:spacing w:line="288" w:lineRule="auto"/>
        <w:rPr>
          <w:rFonts w:ascii="Arial" w:hAnsi="Arial" w:cs="Arial"/>
          <w:sz w:val="20"/>
          <w:szCs w:val="20"/>
        </w:rPr>
      </w:pPr>
    </w:p>
    <w:p w14:paraId="6FE64386" w14:textId="79F2D828" w:rsidR="006D3C81" w:rsidRPr="0055656A" w:rsidRDefault="00A13D28" w:rsidP="0055656A">
      <w:pPr>
        <w:spacing w:line="288" w:lineRule="auto"/>
        <w:rPr>
          <w:rFonts w:ascii="Arial" w:hAnsi="Arial" w:cs="Arial"/>
          <w:sz w:val="20"/>
          <w:szCs w:val="20"/>
        </w:rPr>
      </w:pPr>
      <w:r>
        <w:rPr>
          <w:rFonts w:ascii="Arial" w:hAnsi="Arial" w:cs="Arial"/>
          <w:sz w:val="20"/>
        </w:rPr>
        <w:t xml:space="preserve">Nueva variante </w:t>
      </w:r>
      <w:r w:rsidR="00236BD4">
        <w:rPr>
          <w:rFonts w:ascii="Arial" w:hAnsi="Arial" w:cs="Arial"/>
          <w:sz w:val="20"/>
        </w:rPr>
        <w:t xml:space="preserve">en </w:t>
      </w:r>
      <w:r>
        <w:rPr>
          <w:rFonts w:ascii="Arial" w:hAnsi="Arial" w:cs="Arial"/>
          <w:sz w:val="20"/>
        </w:rPr>
        <w:t xml:space="preserve">la serie de cajas para sobremesa Alu-Topline </w:t>
      </w:r>
    </w:p>
    <w:p w14:paraId="6FB95301" w14:textId="21AF4B72" w:rsidR="006D3C81" w:rsidRPr="0055656A" w:rsidRDefault="00296898" w:rsidP="0055656A">
      <w:pPr>
        <w:spacing w:line="288" w:lineRule="auto"/>
        <w:rPr>
          <w:rFonts w:ascii="Arial" w:hAnsi="Arial" w:cs="Arial"/>
          <w:sz w:val="20"/>
          <w:szCs w:val="20"/>
        </w:rPr>
      </w:pPr>
      <w:r>
        <w:rPr>
          <w:rFonts w:ascii="Arial" w:hAnsi="Arial" w:cs="Arial"/>
          <w:b/>
          <w:sz w:val="20"/>
        </w:rPr>
        <w:t>Algo más de todo: display táctil de mayor tamaño, más espacio para montaje de componentes y protección IP mejorada</w:t>
      </w:r>
    </w:p>
    <w:p w14:paraId="33B239C9" w14:textId="77777777" w:rsidR="006D3C81" w:rsidRDefault="006D3C81" w:rsidP="0055656A">
      <w:pPr>
        <w:spacing w:line="288" w:lineRule="auto"/>
        <w:rPr>
          <w:rFonts w:ascii="Arial" w:hAnsi="Arial" w:cs="Arial"/>
          <w:sz w:val="20"/>
          <w:szCs w:val="20"/>
        </w:rPr>
      </w:pPr>
    </w:p>
    <w:p w14:paraId="575FA790" w14:textId="25A179D2" w:rsidR="00DA7D08" w:rsidRPr="00DA7D08" w:rsidRDefault="00296898" w:rsidP="0055656A">
      <w:pPr>
        <w:spacing w:line="288" w:lineRule="auto"/>
        <w:rPr>
          <w:rFonts w:ascii="Arial" w:hAnsi="Arial" w:cs="Arial"/>
          <w:b/>
          <w:sz w:val="20"/>
          <w:szCs w:val="20"/>
        </w:rPr>
      </w:pPr>
      <w:r>
        <w:rPr>
          <w:rFonts w:ascii="Arial" w:hAnsi="Arial" w:cs="Arial"/>
          <w:b/>
          <w:sz w:val="20"/>
        </w:rPr>
        <w:t xml:space="preserve">Respondiendo a las peticiones de numerosos clientes, BOPLA amplía </w:t>
      </w:r>
      <w:hyperlink r:id="rId8" w:history="1">
        <w:r>
          <w:rPr>
            <w:rStyle w:val="Hyperlink"/>
            <w:rFonts w:ascii="Arial" w:hAnsi="Arial" w:cs="Arial"/>
            <w:b/>
            <w:sz w:val="20"/>
          </w:rPr>
          <w:t>la gama de su apreciado sistema de envolventes Alu-Topline</w:t>
        </w:r>
      </w:hyperlink>
      <w:r>
        <w:rPr>
          <w:rFonts w:ascii="Arial" w:hAnsi="Arial" w:cs="Arial"/>
          <w:b/>
          <w:sz w:val="20"/>
        </w:rPr>
        <w:t xml:space="preserve"> introduciendo una ejecución adicional. La nueva caja para sobremesa está optimizada para la integración de los populares displays táctiles de 10,1</w:t>
      </w:r>
      <w:r w:rsidR="00CE7AA1" w:rsidRPr="00CE7AA1">
        <w:rPr>
          <w:rFonts w:ascii="Arial" w:hAnsi="Arial" w:cs="Arial"/>
          <w:b/>
          <w:sz w:val="20"/>
        </w:rPr>
        <w:t>"</w:t>
      </w:r>
      <w:r>
        <w:rPr>
          <w:rFonts w:ascii="Arial" w:hAnsi="Arial" w:cs="Arial"/>
          <w:b/>
          <w:sz w:val="20"/>
        </w:rPr>
        <w:t xml:space="preserve"> </w:t>
      </w:r>
      <w:r w:rsidR="00CE7AA1">
        <w:rPr>
          <w:rFonts w:ascii="Arial" w:hAnsi="Arial" w:cs="Arial"/>
          <w:b/>
          <w:sz w:val="20"/>
        </w:rPr>
        <w:t xml:space="preserve">de diagonal </w:t>
      </w:r>
      <w:r>
        <w:rPr>
          <w:rFonts w:ascii="Arial" w:hAnsi="Arial" w:cs="Arial"/>
          <w:b/>
          <w:sz w:val="20"/>
        </w:rPr>
        <w:t>y ofrece más espacio para montaje de componentes que las versiones disponibles hasta ahora. Por lo demás, y gracias al concepto modificado de hermetizado, la nueva caja Alu-Topline ATPH-IP 2385 satisface ya en la ejecución estándar las exigencias a la clase de protección IP65. Con las juntas decorativas visibles opcionales es posible añadir atractivos detalles cromáticos. La nueva variante estará a disposición a partir de junio.</w:t>
      </w:r>
    </w:p>
    <w:p w14:paraId="0BAC2D76" w14:textId="77777777" w:rsidR="00DA7D08" w:rsidRPr="0055656A" w:rsidRDefault="00DA7D08" w:rsidP="0055656A">
      <w:pPr>
        <w:spacing w:line="288" w:lineRule="auto"/>
        <w:rPr>
          <w:rFonts w:ascii="Arial" w:hAnsi="Arial" w:cs="Arial"/>
          <w:sz w:val="20"/>
          <w:szCs w:val="20"/>
        </w:rPr>
      </w:pPr>
    </w:p>
    <w:p w14:paraId="3C88FACD" w14:textId="4E3B5E7C" w:rsidR="00EE5F85" w:rsidRDefault="00C70F24" w:rsidP="00EE5F85">
      <w:pPr>
        <w:spacing w:line="288" w:lineRule="auto"/>
        <w:rPr>
          <w:rFonts w:ascii="Arial" w:hAnsi="Arial" w:cs="Arial"/>
          <w:sz w:val="20"/>
          <w:szCs w:val="20"/>
        </w:rPr>
      </w:pPr>
      <w:r>
        <w:rPr>
          <w:rFonts w:ascii="Arial" w:hAnsi="Arial" w:cs="Arial"/>
          <w:sz w:val="20"/>
        </w:rPr>
        <w:t xml:space="preserve">El cuerpo de las cajas Alu-Topline de </w:t>
      </w:r>
      <w:hyperlink r:id="rId9" w:history="1">
        <w:r>
          <w:rPr>
            <w:rStyle w:val="Hyperlink"/>
            <w:rFonts w:ascii="Arial" w:hAnsi="Arial" w:cs="Arial"/>
            <w:sz w:val="20"/>
          </w:rPr>
          <w:t>BOPLA</w:t>
        </w:r>
      </w:hyperlink>
      <w:r>
        <w:rPr>
          <w:rFonts w:ascii="Arial" w:hAnsi="Arial" w:cs="Arial"/>
          <w:sz w:val="20"/>
        </w:rPr>
        <w:t xml:space="preserve"> se fabrica utilizando perfiles extruidos de aluminio anodizado en color natural, que pueden cortarse a medida para adaptarlos a la aplicación prevista. Las dimensiones de la envolvente son compatibles con los populares displays táctiles de 7,0" y de 10,1". Los perfiles </w:t>
      </w:r>
      <w:r w:rsidR="003410F1">
        <w:rPr>
          <w:rFonts w:ascii="Arial" w:hAnsi="Arial" w:cs="Arial"/>
          <w:sz w:val="20"/>
        </w:rPr>
        <w:t xml:space="preserve">se completan </w:t>
      </w:r>
      <w:r>
        <w:rPr>
          <w:rFonts w:ascii="Arial" w:hAnsi="Arial" w:cs="Arial"/>
          <w:sz w:val="20"/>
        </w:rPr>
        <w:t xml:space="preserve">en los extremos </w:t>
      </w:r>
      <w:r w:rsidR="003410F1">
        <w:rPr>
          <w:rFonts w:ascii="Arial" w:hAnsi="Arial" w:cs="Arial"/>
          <w:sz w:val="20"/>
        </w:rPr>
        <w:t xml:space="preserve">con </w:t>
      </w:r>
      <w:r>
        <w:rPr>
          <w:rFonts w:ascii="Arial" w:hAnsi="Arial" w:cs="Arial"/>
          <w:sz w:val="20"/>
        </w:rPr>
        <w:t>tapas de plástico ABS en los dos colores estándar gris grafito (similar a RAL 7024) y negro (similar a RAL 9005). Bajo pedido pueden suministrarse tapas en colores especiales.</w:t>
      </w:r>
    </w:p>
    <w:p w14:paraId="5F8A3D68" w14:textId="77777777" w:rsidR="00D52799" w:rsidRDefault="00D52799" w:rsidP="00EE5F85">
      <w:pPr>
        <w:spacing w:line="288" w:lineRule="auto"/>
        <w:rPr>
          <w:rFonts w:ascii="Arial" w:hAnsi="Arial" w:cs="Arial"/>
          <w:sz w:val="20"/>
          <w:szCs w:val="20"/>
        </w:rPr>
      </w:pPr>
    </w:p>
    <w:p w14:paraId="179B9F93" w14:textId="01336A04" w:rsidR="00C70F24" w:rsidRDefault="00EE5F85" w:rsidP="00EE5F85">
      <w:pPr>
        <w:spacing w:line="288" w:lineRule="auto"/>
        <w:rPr>
          <w:rFonts w:ascii="Arial" w:hAnsi="Arial" w:cs="Arial"/>
          <w:sz w:val="20"/>
          <w:szCs w:val="20"/>
        </w:rPr>
      </w:pPr>
      <w:r>
        <w:rPr>
          <w:rFonts w:ascii="Arial" w:hAnsi="Arial" w:cs="Arial"/>
          <w:sz w:val="20"/>
        </w:rPr>
        <w:t xml:space="preserve">El perfil dividido </w:t>
      </w:r>
      <w:r w:rsidR="00294FD7">
        <w:rPr>
          <w:rFonts w:ascii="Arial" w:hAnsi="Arial" w:cs="Arial"/>
          <w:sz w:val="20"/>
        </w:rPr>
        <w:t xml:space="preserve">de </w:t>
      </w:r>
      <w:r>
        <w:rPr>
          <w:rFonts w:ascii="Arial" w:hAnsi="Arial" w:cs="Arial"/>
          <w:sz w:val="20"/>
        </w:rPr>
        <w:t>la caja facilita un acceso confortable al interior y un montaje rápido y sencillo de los componentes electrónicos.</w:t>
      </w:r>
      <w:r w:rsidR="00294FD7">
        <w:rPr>
          <w:rFonts w:ascii="Arial" w:hAnsi="Arial" w:cs="Arial"/>
          <w:sz w:val="20"/>
        </w:rPr>
        <w:t xml:space="preserve"> </w:t>
      </w:r>
      <w:r>
        <w:rPr>
          <w:rFonts w:ascii="Arial" w:hAnsi="Arial" w:cs="Arial"/>
          <w:sz w:val="20"/>
        </w:rPr>
        <w:t xml:space="preserve">La </w:t>
      </w:r>
      <w:r w:rsidR="00294FD7">
        <w:rPr>
          <w:rFonts w:ascii="Arial" w:hAnsi="Arial" w:cs="Arial"/>
          <w:sz w:val="20"/>
        </w:rPr>
        <w:t xml:space="preserve">parte </w:t>
      </w:r>
      <w:r>
        <w:rPr>
          <w:rFonts w:ascii="Arial" w:hAnsi="Arial" w:cs="Arial"/>
          <w:sz w:val="20"/>
        </w:rPr>
        <w:t xml:space="preserve">inferior de la nueva caja ATPH-IP 2385 dispone en </w:t>
      </w:r>
      <w:r w:rsidR="00294FD7">
        <w:rPr>
          <w:rFonts w:ascii="Arial" w:hAnsi="Arial" w:cs="Arial"/>
          <w:sz w:val="20"/>
        </w:rPr>
        <w:t xml:space="preserve">su </w:t>
      </w:r>
      <w:r>
        <w:rPr>
          <w:rFonts w:ascii="Arial" w:hAnsi="Arial" w:cs="Arial"/>
          <w:sz w:val="20"/>
        </w:rPr>
        <w:t xml:space="preserve">base de diversas acanaladuras para tacos de corredera basculantes —por ejemplo, para montaje mural VESA— y canales para tornillos para el montaje de placas de circuito impreso. </w:t>
      </w:r>
    </w:p>
    <w:p w14:paraId="30F76480" w14:textId="77777777" w:rsidR="00C70F24" w:rsidRDefault="00C70F24" w:rsidP="00EE5F85">
      <w:pPr>
        <w:spacing w:line="288" w:lineRule="auto"/>
        <w:rPr>
          <w:rFonts w:ascii="Arial" w:hAnsi="Arial" w:cs="Arial"/>
          <w:sz w:val="20"/>
          <w:szCs w:val="20"/>
        </w:rPr>
      </w:pPr>
    </w:p>
    <w:p w14:paraId="54C044A2" w14:textId="69FE36EC" w:rsidR="00EE5F85" w:rsidRDefault="000E0B6F" w:rsidP="00EE5F85">
      <w:pPr>
        <w:spacing w:line="288" w:lineRule="auto"/>
        <w:rPr>
          <w:rFonts w:ascii="Arial" w:hAnsi="Arial" w:cs="Arial"/>
          <w:sz w:val="20"/>
          <w:szCs w:val="20"/>
        </w:rPr>
      </w:pPr>
      <w:r>
        <w:rPr>
          <w:rFonts w:ascii="Arial" w:hAnsi="Arial" w:cs="Arial"/>
          <w:sz w:val="20"/>
        </w:rPr>
        <w:t>Junto a diversas opciones de sujeción mural, la gama de accesorios del sistema de envolventes Alu-Topline incluye asimismo pies de goma</w:t>
      </w:r>
      <w:r w:rsidR="00B02131">
        <w:rPr>
          <w:rFonts w:ascii="Arial" w:hAnsi="Arial" w:cs="Arial"/>
          <w:sz w:val="20"/>
        </w:rPr>
        <w:t xml:space="preserve"> y bandas aislantes para el montaje de placas en el perfil</w:t>
      </w:r>
      <w:r>
        <w:rPr>
          <w:rFonts w:ascii="Arial" w:hAnsi="Arial" w:cs="Arial"/>
          <w:sz w:val="20"/>
        </w:rPr>
        <w:t xml:space="preserve">. </w:t>
      </w:r>
    </w:p>
    <w:p w14:paraId="628F6C27" w14:textId="77777777" w:rsidR="0085744E" w:rsidRDefault="0085744E" w:rsidP="000E0B6F">
      <w:pPr>
        <w:spacing w:line="288" w:lineRule="auto"/>
        <w:rPr>
          <w:rFonts w:ascii="Arial" w:hAnsi="Arial" w:cs="Arial"/>
          <w:sz w:val="20"/>
          <w:szCs w:val="20"/>
        </w:rPr>
      </w:pPr>
    </w:p>
    <w:p w14:paraId="0768E193" w14:textId="1D4A3769" w:rsidR="000E0B6F" w:rsidRDefault="000E0B6F" w:rsidP="000E0B6F">
      <w:pPr>
        <w:spacing w:line="288" w:lineRule="auto"/>
        <w:rPr>
          <w:rFonts w:ascii="Arial" w:hAnsi="Arial" w:cs="Arial"/>
          <w:sz w:val="20"/>
          <w:szCs w:val="20"/>
        </w:rPr>
      </w:pPr>
      <w:r>
        <w:rPr>
          <w:rFonts w:ascii="Arial" w:hAnsi="Arial" w:cs="Arial"/>
          <w:sz w:val="20"/>
        </w:rPr>
        <w:t xml:space="preserve">Las variantes originales ATPH 18xx de la gama de envolventes Alu-Topline </w:t>
      </w:r>
      <w:r w:rsidR="00B02131">
        <w:rPr>
          <w:rFonts w:ascii="Arial" w:hAnsi="Arial" w:cs="Arial"/>
          <w:sz w:val="20"/>
        </w:rPr>
        <w:t xml:space="preserve">alcanzan en </w:t>
      </w:r>
      <w:r>
        <w:rPr>
          <w:rFonts w:ascii="Arial" w:hAnsi="Arial" w:cs="Arial"/>
          <w:sz w:val="20"/>
        </w:rPr>
        <w:t xml:space="preserve">su ejecución estándar la clase de protección IP40. Mediante combinación de la junta toroidal montada en fábrica con una junta </w:t>
      </w:r>
      <w:r w:rsidR="004363E3">
        <w:rPr>
          <w:rFonts w:ascii="Arial" w:hAnsi="Arial" w:cs="Arial"/>
          <w:sz w:val="20"/>
        </w:rPr>
        <w:t xml:space="preserve">de </w:t>
      </w:r>
      <w:r>
        <w:rPr>
          <w:rFonts w:ascii="Arial" w:hAnsi="Arial" w:cs="Arial"/>
          <w:sz w:val="20"/>
        </w:rPr>
        <w:t xml:space="preserve">TPE se alcanza la clase de protección IP54. </w:t>
      </w:r>
    </w:p>
    <w:p w14:paraId="5DA2788D" w14:textId="77777777" w:rsidR="000E0B6F" w:rsidRPr="00EE5F85" w:rsidRDefault="000E0B6F" w:rsidP="000E0B6F">
      <w:pPr>
        <w:spacing w:line="288" w:lineRule="auto"/>
        <w:rPr>
          <w:rFonts w:ascii="Arial" w:hAnsi="Arial" w:cs="Arial"/>
          <w:sz w:val="20"/>
          <w:szCs w:val="20"/>
        </w:rPr>
      </w:pPr>
    </w:p>
    <w:p w14:paraId="54D26C0B" w14:textId="77777777" w:rsidR="00DA7D08" w:rsidRPr="00DA7D08" w:rsidRDefault="00DA7D08" w:rsidP="00DA7D08">
      <w:pPr>
        <w:spacing w:line="288" w:lineRule="auto"/>
        <w:rPr>
          <w:rFonts w:ascii="Arial" w:hAnsi="Arial" w:cs="Arial"/>
          <w:sz w:val="20"/>
          <w:szCs w:val="20"/>
        </w:rPr>
      </w:pPr>
    </w:p>
    <w:p w14:paraId="2C28C320" w14:textId="7A50933A" w:rsidR="00F36197" w:rsidRDefault="00F36197" w:rsidP="00F36197">
      <w:pPr>
        <w:spacing w:line="288" w:lineRule="auto"/>
        <w:rPr>
          <w:rFonts w:ascii="Arial" w:hAnsi="Arial" w:cs="Arial"/>
          <w:sz w:val="20"/>
          <w:szCs w:val="20"/>
        </w:rPr>
      </w:pPr>
      <w:r>
        <w:rPr>
          <w:rFonts w:ascii="Arial" w:hAnsi="Arial" w:cs="Arial"/>
          <w:sz w:val="20"/>
          <w:szCs w:val="20"/>
        </w:rPr>
        <w:t xml:space="preserve">(2.182 </w:t>
      </w:r>
      <w:r>
        <w:rPr>
          <w:rFonts w:ascii="Arial" w:hAnsi="Arial" w:cs="Arial"/>
          <w:sz w:val="20"/>
        </w:rPr>
        <w:t>caracteres, incluyendo espacios en blanco</w:t>
      </w:r>
      <w:r>
        <w:rPr>
          <w:rFonts w:ascii="Arial" w:hAnsi="Arial" w:cs="Arial"/>
          <w:sz w:val="20"/>
          <w:szCs w:val="20"/>
        </w:rPr>
        <w:t>)</w:t>
      </w:r>
    </w:p>
    <w:p w14:paraId="55261FA0" w14:textId="77777777" w:rsidR="00F72B4A" w:rsidRPr="00F36197" w:rsidRDefault="00F72B4A" w:rsidP="00F72B4A">
      <w:pPr>
        <w:spacing w:line="288" w:lineRule="auto"/>
        <w:rPr>
          <w:rFonts w:ascii="Arial" w:hAnsi="Arial" w:cs="Arial"/>
          <w:sz w:val="20"/>
          <w:szCs w:val="20"/>
        </w:rPr>
      </w:pPr>
    </w:p>
    <w:p w14:paraId="329824AD" w14:textId="77777777" w:rsidR="00F72B4A" w:rsidRPr="00F36197" w:rsidRDefault="00F72B4A" w:rsidP="00F72B4A">
      <w:pPr>
        <w:spacing w:line="288" w:lineRule="auto"/>
        <w:rPr>
          <w:rFonts w:ascii="Arial" w:hAnsi="Arial" w:cs="Arial"/>
          <w:b/>
          <w:sz w:val="20"/>
          <w:szCs w:val="20"/>
        </w:rPr>
      </w:pPr>
    </w:p>
    <w:p w14:paraId="40627DDD" w14:textId="77777777" w:rsidR="00F36197" w:rsidRPr="00F14376" w:rsidRDefault="00F36197" w:rsidP="00F36197">
      <w:pPr>
        <w:spacing w:line="288" w:lineRule="auto"/>
        <w:rPr>
          <w:rFonts w:ascii="Arial" w:hAnsi="Arial" w:cs="Arial"/>
          <w:b/>
          <w:sz w:val="20"/>
          <w:szCs w:val="20"/>
        </w:rPr>
      </w:pPr>
      <w:r>
        <w:rPr>
          <w:rFonts w:ascii="Arial" w:hAnsi="Arial" w:cs="Arial"/>
          <w:b/>
          <w:sz w:val="20"/>
        </w:rPr>
        <w:t>Acerca de BOPLA</w:t>
      </w:r>
    </w:p>
    <w:p w14:paraId="1D8359A3" w14:textId="77777777" w:rsidR="00F36197" w:rsidRPr="00007EDC" w:rsidRDefault="00F36197" w:rsidP="00F36197">
      <w:pPr>
        <w:spacing w:line="288" w:lineRule="auto"/>
        <w:rPr>
          <w:rFonts w:ascii="Arial" w:hAnsi="Arial" w:cs="Arial"/>
          <w:sz w:val="20"/>
          <w:szCs w:val="20"/>
        </w:rPr>
      </w:pPr>
      <w:r>
        <w:rPr>
          <w:rFonts w:ascii="Arial" w:hAnsi="Arial" w:cs="Arial"/>
          <w:sz w:val="20"/>
        </w:rPr>
        <w:t xml:space="preserve">Nosotros, la empresa Bopla Gehäuse Systeme GmbH con sede en Bünde, en Westfalia oriental (Alemania), desarrollamos y producimos desde hace más de 50 años cajas de plástico y de aluminio para equipos electrónicos, así como unidades de entrada basadas en pantallas táctiles y en teclados de membrana. Nuestras cajas y envolventes, desarrolladas de forma específica para los diversos </w:t>
      </w:r>
      <w:r>
        <w:rPr>
          <w:rFonts w:ascii="Arial" w:hAnsi="Arial" w:cs="Arial"/>
          <w:sz w:val="20"/>
        </w:rPr>
        <w:lastRenderedPageBreak/>
        <w:t>campos de aplicación, se utilizan por ejemplo en la técnica de medición, control y regulación, en la construcción de maquinaria e instalaciones, así como en la técnica médica y la técnica ferroviaria. </w:t>
      </w:r>
    </w:p>
    <w:p w14:paraId="531272B1" w14:textId="77777777" w:rsidR="00F36197" w:rsidRPr="00007EDC" w:rsidRDefault="00F36197" w:rsidP="00F36197">
      <w:pPr>
        <w:spacing w:line="288" w:lineRule="auto"/>
        <w:rPr>
          <w:rFonts w:ascii="Arial" w:hAnsi="Arial" w:cs="Arial"/>
          <w:sz w:val="20"/>
          <w:szCs w:val="20"/>
        </w:rPr>
      </w:pPr>
      <w:r>
        <w:rPr>
          <w:rFonts w:ascii="Arial" w:hAnsi="Arial" w:cs="Arial"/>
          <w:sz w:val="20"/>
        </w:rPr>
        <w:t>Además de la producción de las envolventes de acuerdo con las especificaciones de nuestros clientes, podemos encargarnos del mecanizado, la impresión de las superficies y la dotación con equipos electrónicos. Si así lo desean nuestros clientes, asumimos igualmente el montaje completo de la aplicación, incluyendo comprobaciones y pruebas de funcionamiento, y nos encargamos de integrar teclados de membrana y displays táctiles.</w:t>
      </w:r>
    </w:p>
    <w:p w14:paraId="05C6DE26" w14:textId="77777777" w:rsidR="00F36197" w:rsidRDefault="00F36197" w:rsidP="00F36197">
      <w:pPr>
        <w:spacing w:line="288" w:lineRule="auto"/>
        <w:rPr>
          <w:rFonts w:ascii="Arial" w:hAnsi="Arial" w:cs="Arial"/>
          <w:sz w:val="20"/>
          <w:szCs w:val="20"/>
        </w:rPr>
      </w:pPr>
      <w:r>
        <w:rPr>
          <w:rFonts w:ascii="Arial" w:hAnsi="Arial" w:cs="Arial"/>
          <w:sz w:val="20"/>
        </w:rPr>
        <w:t xml:space="preserve">Junto a la fabricación de envolventes individuales basadas en las especificaciones de los clientes, BOPLA es conocida por una cartera extraordinariamente amplia de productos estándar disponibles en almacén. Por todo ello, somos una de las marcas líderes a nivel internacional en la técnica de cajas y envolventes, y estamos a disposición de nuestros clientes en todo el mundo para asesorarles y ayudarles en la realización de proyectos de desarrollo. </w:t>
      </w:r>
    </w:p>
    <w:p w14:paraId="39451638" w14:textId="77777777" w:rsidR="00F36197" w:rsidRPr="00630802" w:rsidRDefault="00F36197" w:rsidP="00F36197">
      <w:pPr>
        <w:spacing w:line="288" w:lineRule="auto"/>
        <w:rPr>
          <w:rFonts w:ascii="Arial" w:hAnsi="Arial" w:cs="Arial"/>
          <w:sz w:val="20"/>
          <w:szCs w:val="20"/>
        </w:rPr>
      </w:pPr>
      <w:r>
        <w:rPr>
          <w:rFonts w:ascii="Arial" w:hAnsi="Arial" w:cs="Arial"/>
          <w:sz w:val="20"/>
        </w:rPr>
        <w:t xml:space="preserve">Desde el año 2021 distribuimos asimismo las nuevas e innovadoras tecnologías HMI de Kundisch GmbH en nuestras soluciones integradas. </w:t>
      </w:r>
    </w:p>
    <w:p w14:paraId="2A7247F3" w14:textId="77777777" w:rsidR="00F36197" w:rsidRPr="009F6F6B" w:rsidRDefault="00F36197" w:rsidP="00F36197">
      <w:pPr>
        <w:spacing w:line="288" w:lineRule="auto"/>
        <w:rPr>
          <w:rFonts w:ascii="Arial" w:hAnsi="Arial" w:cs="Arial"/>
          <w:sz w:val="20"/>
          <w:szCs w:val="20"/>
        </w:rPr>
      </w:pPr>
      <w:r>
        <w:rPr>
          <w:rFonts w:ascii="Arial" w:hAnsi="Arial" w:cs="Arial"/>
          <w:sz w:val="20"/>
        </w:rPr>
        <w:t>Nuestra plantilla consta de unos 500 empleados en diversas compañías de producción y de distribución en todo el mundo, más de 200 de ellos en nuestra sede central en Bünde. La integración como empresa filial en Phoenix Mecano AG garantiza la presencia de nuestros productos y nuestros servicios en todo el mundo.</w:t>
      </w:r>
    </w:p>
    <w:p w14:paraId="7D3EF470" w14:textId="77777777" w:rsidR="00F36197" w:rsidRPr="00F14376" w:rsidRDefault="00F36197" w:rsidP="00F36197">
      <w:pPr>
        <w:spacing w:line="288" w:lineRule="auto"/>
        <w:rPr>
          <w:rFonts w:ascii="Arial" w:hAnsi="Arial" w:cs="Arial"/>
          <w:sz w:val="20"/>
          <w:szCs w:val="20"/>
        </w:rPr>
      </w:pPr>
      <w:r>
        <w:rPr>
          <w:rFonts w:ascii="Arial" w:hAnsi="Arial" w:cs="Arial"/>
          <w:sz w:val="20"/>
        </w:rPr>
        <w:t xml:space="preserve">Encontrarán más información en nuestra página web </w:t>
      </w:r>
      <w:hyperlink r:id="rId10" w:history="1">
        <w:r>
          <w:rPr>
            <w:rStyle w:val="Hyperlink"/>
            <w:rFonts w:ascii="Arial" w:hAnsi="Arial" w:cs="Arial"/>
            <w:sz w:val="20"/>
          </w:rPr>
          <w:t>www.bopla.de</w:t>
        </w:r>
      </w:hyperlink>
      <w:r>
        <w:rPr>
          <w:rFonts w:ascii="Arial" w:hAnsi="Arial" w:cs="Arial"/>
          <w:sz w:val="20"/>
        </w:rPr>
        <w:t>.</w:t>
      </w:r>
    </w:p>
    <w:p w14:paraId="7334719C" w14:textId="77777777" w:rsidR="00F36197" w:rsidRPr="0055656A" w:rsidRDefault="00F36197" w:rsidP="00F36197">
      <w:pPr>
        <w:spacing w:line="288" w:lineRule="auto"/>
        <w:rPr>
          <w:rFonts w:ascii="Arial" w:hAnsi="Arial" w:cs="Arial"/>
          <w:sz w:val="20"/>
          <w:szCs w:val="20"/>
        </w:rPr>
      </w:pPr>
    </w:p>
    <w:p w14:paraId="3DF75081" w14:textId="77777777" w:rsidR="00F36197" w:rsidRPr="0055656A" w:rsidRDefault="00F36197" w:rsidP="00F36197">
      <w:pPr>
        <w:spacing w:line="288" w:lineRule="auto"/>
        <w:rPr>
          <w:rFonts w:ascii="Arial" w:hAnsi="Arial" w:cs="Arial"/>
          <w:sz w:val="20"/>
          <w:szCs w:val="20"/>
        </w:rPr>
      </w:pPr>
      <w:r w:rsidRPr="0055656A">
        <w:rPr>
          <w:rFonts w:ascii="Arial" w:hAnsi="Arial" w:cs="Arial"/>
          <w:sz w:val="20"/>
          <w:szCs w:val="20"/>
        </w:rPr>
        <w:t>(</w:t>
      </w:r>
      <w:r>
        <w:rPr>
          <w:rFonts w:ascii="Arial" w:hAnsi="Arial" w:cs="Arial"/>
          <w:sz w:val="20"/>
          <w:szCs w:val="20"/>
        </w:rPr>
        <w:t>1.</w:t>
      </w:r>
      <w:r>
        <w:rPr>
          <w:rFonts w:ascii="Arial" w:hAnsi="Arial" w:cs="Arial"/>
          <w:sz w:val="20"/>
        </w:rPr>
        <w:t>969 caracteres, incluyendo espacios en blanco</w:t>
      </w:r>
      <w:r w:rsidRPr="0055656A">
        <w:rPr>
          <w:rFonts w:ascii="Arial" w:hAnsi="Arial" w:cs="Arial"/>
          <w:sz w:val="20"/>
          <w:szCs w:val="20"/>
        </w:rPr>
        <w:t>)</w:t>
      </w:r>
    </w:p>
    <w:p w14:paraId="7933CD5C" w14:textId="77777777" w:rsidR="005F25C1" w:rsidRPr="0055656A" w:rsidRDefault="005F25C1" w:rsidP="0055656A">
      <w:pPr>
        <w:spacing w:line="288" w:lineRule="auto"/>
        <w:rPr>
          <w:rFonts w:ascii="Arial" w:hAnsi="Arial" w:cs="Arial"/>
          <w:sz w:val="20"/>
          <w:szCs w:val="20"/>
        </w:rPr>
      </w:pPr>
    </w:p>
    <w:p w14:paraId="48963123" w14:textId="77777777" w:rsidR="005F25C1" w:rsidRPr="0055656A" w:rsidRDefault="005F25C1" w:rsidP="0055656A">
      <w:pPr>
        <w:spacing w:line="288" w:lineRule="auto"/>
        <w:rPr>
          <w:rFonts w:ascii="Arial" w:hAnsi="Arial" w:cs="Arial"/>
          <w:sz w:val="20"/>
          <w:szCs w:val="20"/>
        </w:rPr>
      </w:pPr>
    </w:p>
    <w:p w14:paraId="4550ED30" w14:textId="10E666B7" w:rsidR="005F25C1" w:rsidRDefault="005F25C1" w:rsidP="0055656A">
      <w:pPr>
        <w:spacing w:line="288" w:lineRule="auto"/>
        <w:rPr>
          <w:rFonts w:ascii="Arial" w:hAnsi="Arial" w:cs="Arial"/>
          <w:b/>
          <w:sz w:val="20"/>
          <w:szCs w:val="20"/>
        </w:rPr>
      </w:pPr>
      <w:r>
        <w:rPr>
          <w:rFonts w:ascii="Arial" w:hAnsi="Arial" w:cs="Arial"/>
          <w:b/>
          <w:sz w:val="20"/>
        </w:rPr>
        <w:t>Resumen de fotos</w:t>
      </w:r>
    </w:p>
    <w:p w14:paraId="71FF4149" w14:textId="174E6780" w:rsidR="00C870AE" w:rsidRDefault="00C870AE" w:rsidP="0055656A">
      <w:pPr>
        <w:spacing w:line="288" w:lineRule="auto"/>
        <w:rPr>
          <w:rFonts w:ascii="Arial" w:hAnsi="Arial" w:cs="Arial"/>
          <w:b/>
          <w:sz w:val="20"/>
          <w:szCs w:val="20"/>
        </w:rPr>
      </w:pPr>
    </w:p>
    <w:p w14:paraId="37B95A52" w14:textId="4D4A8510" w:rsidR="00D35409" w:rsidRPr="00580B6E" w:rsidRDefault="00D21532" w:rsidP="0055656A">
      <w:pPr>
        <w:spacing w:line="288" w:lineRule="auto"/>
        <w:rPr>
          <w:rFonts w:ascii="Arial" w:hAnsi="Arial" w:cs="Arial"/>
          <w:b/>
          <w:sz w:val="20"/>
          <w:szCs w:val="20"/>
        </w:rPr>
      </w:pPr>
      <w:r>
        <w:rPr>
          <w:rFonts w:ascii="Arial" w:hAnsi="Arial" w:cs="Arial"/>
          <w:b/>
          <w:noProof/>
          <w:sz w:val="20"/>
        </w:rPr>
        <w:drawing>
          <wp:inline distT="0" distB="0" distL="0" distR="0" wp14:anchorId="3EDFA0FC" wp14:editId="3D9328E3">
            <wp:extent cx="3070074" cy="2181885"/>
            <wp:effectExtent l="0" t="0" r="3810" b="2540"/>
            <wp:docPr id="1" name="Grafik 1" descr="Ein Bild, das drinnen, weiß, Drucker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innen, weiß, Drucker enthält.  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0082" cy="2188997"/>
                    </a:xfrm>
                    <a:prstGeom prst="rect">
                      <a:avLst/>
                    </a:prstGeom>
                  </pic:spPr>
                </pic:pic>
              </a:graphicData>
            </a:graphic>
          </wp:inline>
        </w:drawing>
      </w:r>
    </w:p>
    <w:p w14:paraId="1F0C7FE8" w14:textId="2788EC7B" w:rsidR="007644EE" w:rsidRPr="00C82F87" w:rsidRDefault="00F36197" w:rsidP="007644EE">
      <w:pPr>
        <w:spacing w:line="288" w:lineRule="auto"/>
        <w:rPr>
          <w:rFonts w:ascii="Arial" w:hAnsi="Arial" w:cs="Arial"/>
          <w:i/>
          <w:iCs/>
          <w:sz w:val="20"/>
          <w:szCs w:val="20"/>
        </w:rPr>
      </w:pPr>
      <w:r>
        <w:rPr>
          <w:rFonts w:ascii="Arial" w:hAnsi="Arial" w:cs="Arial"/>
          <w:b/>
          <w:sz w:val="20"/>
          <w:szCs w:val="20"/>
        </w:rPr>
        <w:t>AluTopline_Gruppe.jpg</w:t>
      </w:r>
      <w:r w:rsidRPr="00193D14">
        <w:rPr>
          <w:rFonts w:ascii="Arial" w:hAnsi="Arial" w:cs="Arial"/>
          <w:b/>
          <w:sz w:val="20"/>
          <w:szCs w:val="20"/>
        </w:rPr>
        <w:t>:</w:t>
      </w:r>
      <w:r>
        <w:rPr>
          <w:rFonts w:ascii="Arial" w:hAnsi="Arial" w:cs="Arial"/>
          <w:sz w:val="20"/>
          <w:szCs w:val="20"/>
        </w:rPr>
        <w:t xml:space="preserve"> </w:t>
      </w:r>
      <w:r w:rsidR="00C82F87">
        <w:rPr>
          <w:rFonts w:ascii="Arial" w:hAnsi="Arial" w:cs="Arial"/>
          <w:sz w:val="20"/>
        </w:rPr>
        <w:t xml:space="preserve">BOPLA amplía su sistema de cajas Alu-Topline con un nuevo modelo (delante): la versión ATPH 2365-IP ofrece más espacio para montaje, alcanza la clase de protección IP65 y brinda </w:t>
      </w:r>
      <w:r w:rsidR="00F32816">
        <w:rPr>
          <w:rFonts w:ascii="Arial" w:hAnsi="Arial" w:cs="Arial"/>
          <w:sz w:val="20"/>
        </w:rPr>
        <w:t xml:space="preserve">como </w:t>
      </w:r>
      <w:r w:rsidR="00C82F87">
        <w:rPr>
          <w:rFonts w:ascii="Arial" w:hAnsi="Arial" w:cs="Arial"/>
          <w:sz w:val="20"/>
        </w:rPr>
        <w:t xml:space="preserve">opción </w:t>
      </w:r>
      <w:r w:rsidR="00F32816">
        <w:rPr>
          <w:rFonts w:ascii="Arial" w:hAnsi="Arial" w:cs="Arial"/>
          <w:sz w:val="20"/>
        </w:rPr>
        <w:t xml:space="preserve">la posibilidad </w:t>
      </w:r>
      <w:r w:rsidR="00C82F87">
        <w:rPr>
          <w:rFonts w:ascii="Arial" w:hAnsi="Arial" w:cs="Arial"/>
          <w:sz w:val="20"/>
        </w:rPr>
        <w:t xml:space="preserve">de integrar un display táctil de mayor tamaño con 10,1" de diagonal — </w:t>
      </w:r>
      <w:r w:rsidR="00C82F87">
        <w:rPr>
          <w:rFonts w:ascii="Arial" w:hAnsi="Arial" w:cs="Arial"/>
          <w:i/>
          <w:sz w:val="20"/>
        </w:rPr>
        <w:t xml:space="preserve">Origen: Bopla Gehäuse Systeme GmbH  </w:t>
      </w:r>
    </w:p>
    <w:p w14:paraId="4CA81D9C" w14:textId="6C128F33" w:rsidR="005F25C1" w:rsidRDefault="005F25C1" w:rsidP="0055656A">
      <w:pPr>
        <w:spacing w:line="288" w:lineRule="auto"/>
        <w:rPr>
          <w:rFonts w:ascii="Arial" w:hAnsi="Arial" w:cs="Arial"/>
          <w:sz w:val="20"/>
          <w:szCs w:val="20"/>
        </w:rPr>
      </w:pPr>
    </w:p>
    <w:p w14:paraId="461FA35A" w14:textId="4AE4FB62" w:rsidR="00F36197" w:rsidRDefault="00F36197">
      <w:pPr>
        <w:spacing w:line="288" w:lineRule="auto"/>
        <w:rPr>
          <w:rFonts w:ascii="Arial" w:hAnsi="Arial" w:cs="Arial"/>
          <w:sz w:val="20"/>
          <w:szCs w:val="20"/>
        </w:rPr>
      </w:pPr>
      <w:r>
        <w:rPr>
          <w:rFonts w:ascii="Arial" w:hAnsi="Arial" w:cs="Arial"/>
          <w:sz w:val="20"/>
          <w:szCs w:val="20"/>
        </w:rPr>
        <w:br w:type="page"/>
      </w:r>
    </w:p>
    <w:p w14:paraId="4D8CAA21" w14:textId="77777777" w:rsidR="005F25C1" w:rsidRPr="0055656A" w:rsidRDefault="005F25C1" w:rsidP="0055656A">
      <w:pPr>
        <w:spacing w:line="288" w:lineRule="auto"/>
        <w:rPr>
          <w:rFonts w:ascii="Arial" w:hAnsi="Arial" w:cs="Arial"/>
          <w:sz w:val="20"/>
          <w:szCs w:val="20"/>
        </w:rPr>
      </w:pPr>
    </w:p>
    <w:p w14:paraId="37E9E7DB" w14:textId="77777777" w:rsidR="00B53AD5" w:rsidRDefault="005F25C1" w:rsidP="0055656A">
      <w:pPr>
        <w:spacing w:line="288" w:lineRule="auto"/>
        <w:rPr>
          <w:rFonts w:ascii="Arial" w:hAnsi="Arial" w:cs="Arial"/>
          <w:b/>
          <w:sz w:val="20"/>
          <w:szCs w:val="20"/>
        </w:rPr>
      </w:pPr>
      <w:r>
        <w:rPr>
          <w:rFonts w:ascii="Arial" w:hAnsi="Arial" w:cs="Arial"/>
          <w:b/>
          <w:sz w:val="20"/>
        </w:rPr>
        <w:t>Meta Title</w:t>
      </w:r>
    </w:p>
    <w:p w14:paraId="3E4D9BD5" w14:textId="111BA808" w:rsidR="00B53AD5" w:rsidRDefault="00054A99" w:rsidP="0055656A">
      <w:pPr>
        <w:spacing w:line="288" w:lineRule="auto"/>
        <w:rPr>
          <w:rFonts w:ascii="Arial" w:hAnsi="Arial" w:cs="Arial"/>
          <w:sz w:val="20"/>
          <w:szCs w:val="20"/>
        </w:rPr>
      </w:pPr>
      <w:r>
        <w:rPr>
          <w:rFonts w:ascii="Arial" w:hAnsi="Arial" w:cs="Arial"/>
          <w:sz w:val="20"/>
        </w:rPr>
        <w:t>Nueva caja para sobremesa de BOPLA</w:t>
      </w:r>
    </w:p>
    <w:p w14:paraId="12BFEDC3" w14:textId="77777777" w:rsidR="00054A99" w:rsidRDefault="00054A99" w:rsidP="0055656A">
      <w:pPr>
        <w:spacing w:line="288" w:lineRule="auto"/>
        <w:rPr>
          <w:rFonts w:ascii="Arial" w:hAnsi="Arial" w:cs="Arial"/>
          <w:b/>
          <w:sz w:val="20"/>
          <w:szCs w:val="20"/>
        </w:rPr>
      </w:pPr>
    </w:p>
    <w:p w14:paraId="46CA86F1" w14:textId="16BBD100" w:rsidR="005F25C1" w:rsidRPr="00580B6E" w:rsidRDefault="008D3F1F" w:rsidP="0055656A">
      <w:pPr>
        <w:spacing w:line="288" w:lineRule="auto"/>
        <w:rPr>
          <w:rFonts w:ascii="Arial" w:hAnsi="Arial" w:cs="Arial"/>
          <w:b/>
          <w:sz w:val="20"/>
          <w:szCs w:val="20"/>
        </w:rPr>
      </w:pPr>
      <w:r>
        <w:rPr>
          <w:rFonts w:ascii="Arial" w:hAnsi="Arial" w:cs="Arial"/>
          <w:b/>
          <w:sz w:val="20"/>
        </w:rPr>
        <w:t>Meta Tag</w:t>
      </w:r>
    </w:p>
    <w:p w14:paraId="6864756E" w14:textId="6D0A05C2" w:rsidR="00FA5D6F" w:rsidRDefault="0099055B" w:rsidP="0055656A">
      <w:pPr>
        <w:spacing w:line="288" w:lineRule="auto"/>
        <w:rPr>
          <w:rFonts w:ascii="Arial" w:hAnsi="Arial" w:cs="Arial"/>
          <w:sz w:val="20"/>
          <w:szCs w:val="20"/>
        </w:rPr>
      </w:pPr>
      <w:r>
        <w:rPr>
          <w:rFonts w:ascii="Arial" w:hAnsi="Arial" w:cs="Arial"/>
          <w:sz w:val="20"/>
        </w:rPr>
        <w:t>BOPLA amplía su sistema de cajas Alu-Topline con un nuevo modelo con display táctil de 10,1", más espacio para montaje y clase de protección IP65</w:t>
      </w:r>
    </w:p>
    <w:p w14:paraId="6FF2A6CA" w14:textId="77777777" w:rsidR="00054A99" w:rsidRDefault="00054A99" w:rsidP="0055656A">
      <w:pPr>
        <w:spacing w:line="288" w:lineRule="auto"/>
        <w:rPr>
          <w:rFonts w:ascii="Arial" w:hAnsi="Arial" w:cs="Arial"/>
          <w:sz w:val="20"/>
          <w:szCs w:val="20"/>
        </w:rPr>
      </w:pPr>
    </w:p>
    <w:p w14:paraId="70F9F212" w14:textId="77777777" w:rsidR="005F25C1" w:rsidRPr="00580B6E" w:rsidRDefault="00C86B1F" w:rsidP="0055656A">
      <w:pPr>
        <w:spacing w:line="288" w:lineRule="auto"/>
        <w:rPr>
          <w:rFonts w:ascii="Arial" w:hAnsi="Arial" w:cs="Arial"/>
          <w:b/>
          <w:sz w:val="20"/>
          <w:szCs w:val="20"/>
        </w:rPr>
      </w:pPr>
      <w:r>
        <w:rPr>
          <w:rFonts w:ascii="Arial" w:hAnsi="Arial" w:cs="Arial"/>
          <w:b/>
          <w:sz w:val="20"/>
        </w:rPr>
        <w:t>Keywords</w:t>
      </w:r>
    </w:p>
    <w:p w14:paraId="3FC89912" w14:textId="1F99293B" w:rsidR="005F25C1" w:rsidRPr="0055656A" w:rsidRDefault="00054A99" w:rsidP="0055656A">
      <w:pPr>
        <w:spacing w:line="288" w:lineRule="auto"/>
        <w:rPr>
          <w:rFonts w:ascii="Arial" w:hAnsi="Arial" w:cs="Arial"/>
          <w:sz w:val="20"/>
          <w:szCs w:val="20"/>
        </w:rPr>
      </w:pPr>
      <w:r>
        <w:rPr>
          <w:rFonts w:ascii="Arial" w:hAnsi="Arial" w:cs="Arial"/>
          <w:sz w:val="20"/>
        </w:rPr>
        <w:t>caja para equipos electrónicos display táctil, caja para sobremesa aluminio, caja para sobremesa display táctil, caja de aluminio montaje mural, BOPLA</w:t>
      </w:r>
    </w:p>
    <w:p w14:paraId="0DA51D2F" w14:textId="77777777" w:rsidR="005F25C1" w:rsidRPr="0055656A" w:rsidRDefault="005F25C1" w:rsidP="0055656A">
      <w:pPr>
        <w:spacing w:line="288" w:lineRule="auto"/>
        <w:rPr>
          <w:rFonts w:ascii="Arial" w:hAnsi="Arial" w:cs="Arial"/>
          <w:sz w:val="20"/>
          <w:szCs w:val="20"/>
        </w:rPr>
      </w:pPr>
    </w:p>
    <w:p w14:paraId="230855CA" w14:textId="25384715" w:rsidR="00567F7C" w:rsidRDefault="00567F7C">
      <w:pPr>
        <w:spacing w:line="288" w:lineRule="auto"/>
        <w:rPr>
          <w:rFonts w:ascii="Arial" w:hAnsi="Arial" w:cs="Arial"/>
          <w:sz w:val="20"/>
          <w:szCs w:val="20"/>
        </w:rPr>
      </w:pPr>
    </w:p>
    <w:p w14:paraId="78B68877" w14:textId="77777777" w:rsidR="00F36197" w:rsidRPr="00580B6E" w:rsidRDefault="00F36197" w:rsidP="00F36197">
      <w:pPr>
        <w:spacing w:line="288" w:lineRule="auto"/>
        <w:rPr>
          <w:rFonts w:ascii="Arial" w:hAnsi="Arial" w:cs="Arial"/>
          <w:b/>
          <w:sz w:val="20"/>
          <w:szCs w:val="20"/>
        </w:rPr>
      </w:pPr>
      <w:r>
        <w:rPr>
          <w:rFonts w:ascii="Arial" w:hAnsi="Arial" w:cs="Arial"/>
          <w:b/>
          <w:sz w:val="20"/>
          <w:szCs w:val="20"/>
        </w:rPr>
        <w:t>Deeplinks</w:t>
      </w:r>
    </w:p>
    <w:p w14:paraId="0D9E36C4" w14:textId="77777777" w:rsidR="00F36197" w:rsidRDefault="00D2464E" w:rsidP="00F36197">
      <w:pPr>
        <w:spacing w:line="288" w:lineRule="auto"/>
        <w:rPr>
          <w:rFonts w:ascii="Arial" w:hAnsi="Arial" w:cs="Arial"/>
          <w:sz w:val="20"/>
          <w:szCs w:val="20"/>
        </w:rPr>
      </w:pPr>
      <w:hyperlink r:id="rId12" w:history="1">
        <w:r w:rsidR="00F36197" w:rsidRPr="00E27D1B">
          <w:rPr>
            <w:rStyle w:val="Hyperlink"/>
            <w:rFonts w:ascii="Arial" w:hAnsi="Arial" w:cs="Arial"/>
            <w:sz w:val="20"/>
            <w:szCs w:val="20"/>
          </w:rPr>
          <w:t>https://www.bopla.de</w:t>
        </w:r>
      </w:hyperlink>
    </w:p>
    <w:p w14:paraId="09A7C8A9" w14:textId="77777777" w:rsidR="00F36197" w:rsidRPr="00054A99" w:rsidRDefault="00D2464E" w:rsidP="00F36197">
      <w:hyperlink r:id="rId13" w:tooltip="https://www.bopla.de/gehaeusetechnik/product/alu-topline.html" w:history="1">
        <w:r w:rsidR="00F36197" w:rsidRPr="00054A99">
          <w:rPr>
            <w:rFonts w:ascii="Arial" w:hAnsi="Arial" w:cs="Arial"/>
            <w:color w:val="0563C1"/>
            <w:sz w:val="20"/>
            <w:szCs w:val="20"/>
            <w:u w:val="single"/>
          </w:rPr>
          <w:t>https://www.bopla.de/gehaeusetechnik/product/alu-topline.html</w:t>
        </w:r>
      </w:hyperlink>
    </w:p>
    <w:p w14:paraId="04C9AB81" w14:textId="77777777" w:rsidR="00F36197" w:rsidRPr="00C86B1F" w:rsidRDefault="00F36197" w:rsidP="00F36197">
      <w:pPr>
        <w:spacing w:line="288" w:lineRule="auto"/>
        <w:rPr>
          <w:rFonts w:ascii="Arial" w:hAnsi="Arial" w:cs="Arial"/>
          <w:sz w:val="20"/>
          <w:szCs w:val="20"/>
        </w:rPr>
      </w:pPr>
    </w:p>
    <w:p w14:paraId="7B0BAA78" w14:textId="47C51881" w:rsidR="00F36197" w:rsidRDefault="00F36197">
      <w:pPr>
        <w:spacing w:line="288" w:lineRule="auto"/>
        <w:rPr>
          <w:rFonts w:ascii="Arial" w:hAnsi="Arial" w:cs="Arial"/>
          <w:sz w:val="20"/>
          <w:szCs w:val="20"/>
        </w:rPr>
      </w:pPr>
    </w:p>
    <w:p w14:paraId="6F49DFE2" w14:textId="001EC4D6" w:rsidR="00F36197" w:rsidRDefault="00F36197">
      <w:pPr>
        <w:spacing w:line="288" w:lineRule="auto"/>
        <w:rPr>
          <w:rFonts w:ascii="Arial" w:hAnsi="Arial" w:cs="Arial"/>
          <w:sz w:val="20"/>
          <w:szCs w:val="20"/>
        </w:rPr>
      </w:pPr>
    </w:p>
    <w:p w14:paraId="3771F03A" w14:textId="77777777" w:rsidR="00F36197" w:rsidRDefault="00F36197">
      <w:pPr>
        <w:spacing w:line="288" w:lineRule="auto"/>
        <w:rPr>
          <w:rFonts w:ascii="Arial" w:hAnsi="Arial" w:cs="Arial"/>
          <w:sz w:val="20"/>
          <w:szCs w:val="20"/>
        </w:rPr>
      </w:pPr>
    </w:p>
    <w:p w14:paraId="7437093B" w14:textId="77777777" w:rsidR="00F36197" w:rsidRPr="0055656A" w:rsidRDefault="00F36197" w:rsidP="00F36197">
      <w:pPr>
        <w:spacing w:line="288" w:lineRule="auto"/>
        <w:rPr>
          <w:rFonts w:ascii="Arial" w:hAnsi="Arial" w:cs="Arial"/>
          <w:sz w:val="20"/>
          <w:szCs w:val="20"/>
        </w:rPr>
      </w:pPr>
      <w:r>
        <w:rPr>
          <w:rFonts w:ascii="Arial" w:hAnsi="Arial" w:cs="Arial"/>
          <w:b/>
          <w:sz w:val="20"/>
        </w:rPr>
        <w:t>Oficina de prensa</w:t>
      </w:r>
      <w:r>
        <w:rPr>
          <w:rFonts w:ascii="Arial" w:hAnsi="Arial" w:cs="Arial"/>
          <w:b/>
          <w:sz w:val="20"/>
        </w:rPr>
        <w:br/>
      </w:r>
      <w:r>
        <w:rPr>
          <w:rFonts w:ascii="Arial" w:hAnsi="Arial" w:cs="Arial"/>
          <w:sz w:val="20"/>
        </w:rPr>
        <w:t>Köhler + Partner GmbH</w:t>
      </w:r>
      <w:r>
        <w:rPr>
          <w:rFonts w:ascii="Arial" w:hAnsi="Arial" w:cs="Arial"/>
          <w:sz w:val="20"/>
        </w:rPr>
        <w:br/>
        <w:t xml:space="preserve">Brauerstr. 42 </w:t>
      </w:r>
      <w:r>
        <w:rPr>
          <w:rFonts w:ascii="Arial" w:hAnsi="Arial" w:cs="Arial"/>
          <w:sz w:val="20"/>
        </w:rPr>
        <w:sym w:font="Symbol" w:char="00B7"/>
      </w:r>
      <w:r>
        <w:rPr>
          <w:rFonts w:ascii="Arial" w:hAnsi="Arial" w:cs="Arial"/>
          <w:sz w:val="20"/>
        </w:rPr>
        <w:t xml:space="preserve"> 21244 Buchholz i.d.N.</w:t>
      </w:r>
      <w:r>
        <w:rPr>
          <w:rFonts w:ascii="Arial" w:hAnsi="Arial" w:cs="Arial"/>
          <w:sz w:val="20"/>
        </w:rPr>
        <w:br/>
        <w:t xml:space="preserve">Teléfono +49 4181 928928-0 </w:t>
      </w:r>
      <w:r>
        <w:rPr>
          <w:rFonts w:ascii="Arial" w:hAnsi="Arial" w:cs="Arial"/>
          <w:sz w:val="20"/>
        </w:rPr>
        <w:sym w:font="Symbol" w:char="00B7"/>
      </w:r>
      <w:r>
        <w:rPr>
          <w:rFonts w:ascii="Arial" w:hAnsi="Arial" w:cs="Arial"/>
          <w:sz w:val="20"/>
        </w:rPr>
        <w:t xml:space="preserve"> Telefax +49 4181 928928-55</w:t>
      </w:r>
      <w:r>
        <w:rPr>
          <w:rFonts w:ascii="Arial" w:hAnsi="Arial" w:cs="Arial"/>
          <w:sz w:val="20"/>
        </w:rPr>
        <w:br/>
        <w:t xml:space="preserve">info@koehler-partner.de </w:t>
      </w:r>
      <w:r>
        <w:rPr>
          <w:rFonts w:ascii="Arial" w:hAnsi="Arial" w:cs="Arial"/>
          <w:sz w:val="20"/>
        </w:rPr>
        <w:sym w:font="Symbol" w:char="F0B7"/>
      </w:r>
      <w:r>
        <w:rPr>
          <w:rFonts w:ascii="Arial" w:hAnsi="Arial" w:cs="Arial"/>
          <w:sz w:val="20"/>
        </w:rPr>
        <w:t xml:space="preserve"> www.koehler-partner.de</w:t>
      </w:r>
    </w:p>
    <w:p w14:paraId="1EA67DDB" w14:textId="77777777" w:rsidR="00F36197" w:rsidRPr="0055656A" w:rsidRDefault="00F36197">
      <w:pPr>
        <w:spacing w:line="288" w:lineRule="auto"/>
        <w:rPr>
          <w:rFonts w:ascii="Arial" w:hAnsi="Arial" w:cs="Arial"/>
          <w:sz w:val="20"/>
          <w:szCs w:val="20"/>
        </w:rPr>
      </w:pPr>
    </w:p>
    <w:sectPr w:rsidR="00F36197" w:rsidRPr="0055656A" w:rsidSect="006D3C81">
      <w:headerReference w:type="default" r:id="rId14"/>
      <w:footerReference w:type="default" r:id="rId15"/>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18B67" w14:textId="77777777" w:rsidR="00597243" w:rsidRDefault="00597243" w:rsidP="006D3C81">
      <w:r>
        <w:separator/>
      </w:r>
    </w:p>
  </w:endnote>
  <w:endnote w:type="continuationSeparator" w:id="0">
    <w:p w14:paraId="5E433FA5" w14:textId="77777777" w:rsidR="00597243" w:rsidRDefault="00597243" w:rsidP="006D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354C" w14:textId="49A2C2BC" w:rsidR="006D3C81" w:rsidRPr="00F72B4A" w:rsidRDefault="006D3C81" w:rsidP="006D3C81">
    <w:pPr>
      <w:pStyle w:val="Fuzeile"/>
      <w:jc w:val="center"/>
      <w:rPr>
        <w:lang w:val="de-DE"/>
      </w:rPr>
    </w:pPr>
    <w:r w:rsidRPr="00F72B4A">
      <w:rPr>
        <w:lang w:val="de-DE"/>
      </w:rPr>
      <w:t>Bopla Gehäuse Systeme GmbH</w:t>
    </w:r>
  </w:p>
  <w:p w14:paraId="234781AC" w14:textId="77777777" w:rsidR="006D3C81" w:rsidRDefault="006D3C81" w:rsidP="006D3C81">
    <w:pPr>
      <w:pStyle w:val="Fuzeile"/>
      <w:jc w:val="center"/>
    </w:pPr>
    <w:r w:rsidRPr="00F72B4A">
      <w:rPr>
        <w:lang w:val="de-DE"/>
      </w:rPr>
      <w:t xml:space="preserve">Borsigstr. </w:t>
    </w:r>
    <w:r>
      <w:t>17-25 - 32257 Bünde</w:t>
    </w:r>
  </w:p>
  <w:p w14:paraId="09466DE4" w14:textId="77777777" w:rsidR="006D3C81" w:rsidRDefault="006D3C81" w:rsidP="006D3C81">
    <w:pPr>
      <w:pStyle w:val="Fuzeile"/>
      <w:jc w:val="center"/>
    </w:pPr>
    <w:r>
      <w:t>Tel.: +49 5223 969-0 – Fax: +49 5223 969-100</w:t>
    </w:r>
  </w:p>
  <w:p w14:paraId="6DF28576" w14:textId="77777777" w:rsidR="006D3C81" w:rsidRDefault="006D3C81" w:rsidP="006D3C81">
    <w:pPr>
      <w:pStyle w:val="Fuzeile"/>
      <w:jc w:val="center"/>
    </w:pPr>
    <w:r>
      <w:t xml:space="preserve">Internet: </w:t>
    </w:r>
    <w:hyperlink r:id="rId1" w:history="1">
      <w:r>
        <w:rPr>
          <w:rStyle w:val="Hyperlink"/>
          <w:u w:val="none"/>
        </w:rPr>
        <w:t>www.bopla.de</w:t>
      </w:r>
    </w:hyperlink>
    <w:r>
      <w:t xml:space="preserve"> – E-Mail: info@bopla.de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CC614" w14:textId="77777777" w:rsidR="00597243" w:rsidRDefault="00597243" w:rsidP="006D3C81">
      <w:r>
        <w:separator/>
      </w:r>
    </w:p>
  </w:footnote>
  <w:footnote w:type="continuationSeparator" w:id="0">
    <w:p w14:paraId="0BBD9B8D" w14:textId="77777777" w:rsidR="00597243" w:rsidRDefault="00597243" w:rsidP="006D3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E7D5" w14:textId="77777777" w:rsidR="006D3C81" w:rsidRDefault="006D3C81">
    <w:pPr>
      <w:pStyle w:val="Kopfzeile"/>
    </w:pPr>
  </w:p>
  <w:p w14:paraId="4383947F" w14:textId="77777777" w:rsidR="006D3C81" w:rsidRPr="006D3C81" w:rsidRDefault="006D3C81">
    <w:pPr>
      <w:pStyle w:val="Kopfzeile"/>
      <w:rPr>
        <w:i/>
        <w:sz w:val="44"/>
      </w:rPr>
    </w:pPr>
    <w:r>
      <w:rPr>
        <w:i/>
        <w:noProof/>
        <w:sz w:val="44"/>
      </w:rPr>
      <w:t>Comunicado de prensa</w:t>
    </w:r>
    <w:r>
      <w:rPr>
        <w:i/>
        <w:noProof/>
        <w:sz w:val="44"/>
      </w:rPr>
      <w:tab/>
    </w:r>
    <w:r>
      <w:rPr>
        <w:i/>
        <w:noProof/>
        <w:sz w:val="44"/>
      </w:rPr>
      <w:tab/>
    </w:r>
    <w:r>
      <w:rPr>
        <w:i/>
        <w:noProof/>
        <w:sz w:val="44"/>
      </w:rPr>
      <w:drawing>
        <wp:inline distT="0" distB="0" distL="0" distR="0" wp14:anchorId="55C29651" wp14:editId="250D8203">
          <wp:extent cx="1079500" cy="660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pla Logo.gif"/>
                  <pic:cNvPicPr/>
                </pic:nvPicPr>
                <pic:blipFill>
                  <a:blip r:embed="rId1">
                    <a:extLst>
                      <a:ext uri="{28A0092B-C50C-407E-A947-70E740481C1C}">
                        <a14:useLocalDpi xmlns:a14="http://schemas.microsoft.com/office/drawing/2010/main" val="0"/>
                      </a:ext>
                    </a:extLst>
                  </a:blip>
                  <a:stretch>
                    <a:fillRect/>
                  </a:stretch>
                </pic:blipFill>
                <pic:spPr>
                  <a:xfrm>
                    <a:off x="0" y="0"/>
                    <a:ext cx="1079500" cy="660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476A9"/>
    <w:multiLevelType w:val="hybridMultilevel"/>
    <w:tmpl w:val="208E4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7F357E"/>
    <w:multiLevelType w:val="hybridMultilevel"/>
    <w:tmpl w:val="0F92C420"/>
    <w:lvl w:ilvl="0" w:tplc="6C00DA9C">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7445B4"/>
    <w:multiLevelType w:val="hybridMultilevel"/>
    <w:tmpl w:val="CBBEDD56"/>
    <w:lvl w:ilvl="0" w:tplc="A178FA4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99266127">
    <w:abstractNumId w:val="2"/>
  </w:num>
  <w:num w:numId="2" w16cid:durableId="1201431720">
    <w:abstractNumId w:val="0"/>
  </w:num>
  <w:num w:numId="3" w16cid:durableId="1014956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81"/>
    <w:rsid w:val="00013209"/>
    <w:rsid w:val="00022A1D"/>
    <w:rsid w:val="000347BA"/>
    <w:rsid w:val="0004150D"/>
    <w:rsid w:val="00050B31"/>
    <w:rsid w:val="00054A99"/>
    <w:rsid w:val="0006451A"/>
    <w:rsid w:val="000820E9"/>
    <w:rsid w:val="00082154"/>
    <w:rsid w:val="000A07CC"/>
    <w:rsid w:val="000A4863"/>
    <w:rsid w:val="000D534F"/>
    <w:rsid w:val="000E0B6F"/>
    <w:rsid w:val="000E2D10"/>
    <w:rsid w:val="00121B4E"/>
    <w:rsid w:val="00121CF4"/>
    <w:rsid w:val="001305FA"/>
    <w:rsid w:val="00130628"/>
    <w:rsid w:val="00132F00"/>
    <w:rsid w:val="00174B68"/>
    <w:rsid w:val="00176213"/>
    <w:rsid w:val="00181C41"/>
    <w:rsid w:val="0018280B"/>
    <w:rsid w:val="00184AE9"/>
    <w:rsid w:val="00185894"/>
    <w:rsid w:val="00193D14"/>
    <w:rsid w:val="001A525C"/>
    <w:rsid w:val="001A553E"/>
    <w:rsid w:val="001E1E7F"/>
    <w:rsid w:val="0020217D"/>
    <w:rsid w:val="00210081"/>
    <w:rsid w:val="00236BD4"/>
    <w:rsid w:val="00274D97"/>
    <w:rsid w:val="00287CD9"/>
    <w:rsid w:val="00294FD7"/>
    <w:rsid w:val="00296898"/>
    <w:rsid w:val="00306103"/>
    <w:rsid w:val="003229F1"/>
    <w:rsid w:val="003410F1"/>
    <w:rsid w:val="00370A22"/>
    <w:rsid w:val="00375460"/>
    <w:rsid w:val="003774FE"/>
    <w:rsid w:val="003A53BB"/>
    <w:rsid w:val="003B4E3D"/>
    <w:rsid w:val="003C238D"/>
    <w:rsid w:val="003D3400"/>
    <w:rsid w:val="003F644C"/>
    <w:rsid w:val="004132A4"/>
    <w:rsid w:val="004170A3"/>
    <w:rsid w:val="004363E3"/>
    <w:rsid w:val="00477BE9"/>
    <w:rsid w:val="00477C12"/>
    <w:rsid w:val="00481423"/>
    <w:rsid w:val="004A08F1"/>
    <w:rsid w:val="004C10BD"/>
    <w:rsid w:val="004E7EA3"/>
    <w:rsid w:val="0050179C"/>
    <w:rsid w:val="00522240"/>
    <w:rsid w:val="00536BAF"/>
    <w:rsid w:val="00536C10"/>
    <w:rsid w:val="0055656A"/>
    <w:rsid w:val="005614F4"/>
    <w:rsid w:val="00567F7C"/>
    <w:rsid w:val="00573837"/>
    <w:rsid w:val="00580B6E"/>
    <w:rsid w:val="00597243"/>
    <w:rsid w:val="005A68B6"/>
    <w:rsid w:val="005B0FE1"/>
    <w:rsid w:val="005B6722"/>
    <w:rsid w:val="005C1BCF"/>
    <w:rsid w:val="005F25C1"/>
    <w:rsid w:val="00625904"/>
    <w:rsid w:val="00660D32"/>
    <w:rsid w:val="006611A1"/>
    <w:rsid w:val="00684A82"/>
    <w:rsid w:val="006D000E"/>
    <w:rsid w:val="006D3C81"/>
    <w:rsid w:val="0070273D"/>
    <w:rsid w:val="007644EE"/>
    <w:rsid w:val="00766C34"/>
    <w:rsid w:val="00790EA8"/>
    <w:rsid w:val="007E1A27"/>
    <w:rsid w:val="007F368E"/>
    <w:rsid w:val="00803EF8"/>
    <w:rsid w:val="00804B7C"/>
    <w:rsid w:val="008112D8"/>
    <w:rsid w:val="00846787"/>
    <w:rsid w:val="0085744E"/>
    <w:rsid w:val="00861ED6"/>
    <w:rsid w:val="00863C63"/>
    <w:rsid w:val="00897BD1"/>
    <w:rsid w:val="008C7480"/>
    <w:rsid w:val="008D3F1F"/>
    <w:rsid w:val="00906C1C"/>
    <w:rsid w:val="0091242A"/>
    <w:rsid w:val="00956192"/>
    <w:rsid w:val="00971A77"/>
    <w:rsid w:val="009803D7"/>
    <w:rsid w:val="0098166F"/>
    <w:rsid w:val="0099055B"/>
    <w:rsid w:val="009A6DD7"/>
    <w:rsid w:val="00A13D28"/>
    <w:rsid w:val="00A2567F"/>
    <w:rsid w:val="00A34D95"/>
    <w:rsid w:val="00A626CA"/>
    <w:rsid w:val="00A775DD"/>
    <w:rsid w:val="00AE5B4C"/>
    <w:rsid w:val="00B02131"/>
    <w:rsid w:val="00B17B9D"/>
    <w:rsid w:val="00B31DED"/>
    <w:rsid w:val="00B347D9"/>
    <w:rsid w:val="00B3508E"/>
    <w:rsid w:val="00B40F3D"/>
    <w:rsid w:val="00B53AD5"/>
    <w:rsid w:val="00B75703"/>
    <w:rsid w:val="00B83204"/>
    <w:rsid w:val="00B91803"/>
    <w:rsid w:val="00BA2B26"/>
    <w:rsid w:val="00BB09B8"/>
    <w:rsid w:val="00BB413C"/>
    <w:rsid w:val="00BC4DD6"/>
    <w:rsid w:val="00BE5969"/>
    <w:rsid w:val="00BE62C5"/>
    <w:rsid w:val="00C1794E"/>
    <w:rsid w:val="00C273F4"/>
    <w:rsid w:val="00C32EDE"/>
    <w:rsid w:val="00C378EC"/>
    <w:rsid w:val="00C60CE2"/>
    <w:rsid w:val="00C64411"/>
    <w:rsid w:val="00C6521A"/>
    <w:rsid w:val="00C6710E"/>
    <w:rsid w:val="00C70F24"/>
    <w:rsid w:val="00C82F87"/>
    <w:rsid w:val="00C86B1F"/>
    <w:rsid w:val="00C870AE"/>
    <w:rsid w:val="00C87D80"/>
    <w:rsid w:val="00CB2498"/>
    <w:rsid w:val="00CC15A8"/>
    <w:rsid w:val="00CC5DD0"/>
    <w:rsid w:val="00CD33EB"/>
    <w:rsid w:val="00CD3598"/>
    <w:rsid w:val="00CD7CD6"/>
    <w:rsid w:val="00CE2FB3"/>
    <w:rsid w:val="00CE5D8D"/>
    <w:rsid w:val="00CE722E"/>
    <w:rsid w:val="00CE7AA1"/>
    <w:rsid w:val="00D21532"/>
    <w:rsid w:val="00D2464E"/>
    <w:rsid w:val="00D35409"/>
    <w:rsid w:val="00D425ED"/>
    <w:rsid w:val="00D52799"/>
    <w:rsid w:val="00D61BC3"/>
    <w:rsid w:val="00D62A10"/>
    <w:rsid w:val="00D67FB6"/>
    <w:rsid w:val="00D77846"/>
    <w:rsid w:val="00D96C71"/>
    <w:rsid w:val="00DA7D08"/>
    <w:rsid w:val="00DB1E0A"/>
    <w:rsid w:val="00DC0907"/>
    <w:rsid w:val="00DC38A9"/>
    <w:rsid w:val="00DD4B7E"/>
    <w:rsid w:val="00DE6381"/>
    <w:rsid w:val="00E552F2"/>
    <w:rsid w:val="00E77058"/>
    <w:rsid w:val="00E8227D"/>
    <w:rsid w:val="00E84234"/>
    <w:rsid w:val="00E929EB"/>
    <w:rsid w:val="00EA23F5"/>
    <w:rsid w:val="00ED2E6A"/>
    <w:rsid w:val="00EE5D48"/>
    <w:rsid w:val="00EE5F85"/>
    <w:rsid w:val="00EE604E"/>
    <w:rsid w:val="00F07191"/>
    <w:rsid w:val="00F1426D"/>
    <w:rsid w:val="00F14376"/>
    <w:rsid w:val="00F153E2"/>
    <w:rsid w:val="00F230A4"/>
    <w:rsid w:val="00F23643"/>
    <w:rsid w:val="00F2383E"/>
    <w:rsid w:val="00F32816"/>
    <w:rsid w:val="00F36197"/>
    <w:rsid w:val="00F426D4"/>
    <w:rsid w:val="00F67361"/>
    <w:rsid w:val="00F72B4A"/>
    <w:rsid w:val="00F93DD5"/>
    <w:rsid w:val="00FA5D6F"/>
    <w:rsid w:val="00FB25F6"/>
    <w:rsid w:val="00FB2799"/>
    <w:rsid w:val="00FB476C"/>
    <w:rsid w:val="00FC6A59"/>
    <w:rsid w:val="00FC7671"/>
    <w:rsid w:val="00FC76BD"/>
    <w:rsid w:val="00FE08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8C3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054A99"/>
    <w:pPr>
      <w:spacing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points">
    <w:name w:val="Bulletpoints"/>
    <w:basedOn w:val="Listenabsatz"/>
    <w:link w:val="BulletpointsZchn"/>
    <w:qFormat/>
    <w:rsid w:val="00BA2B26"/>
    <w:pPr>
      <w:spacing w:after="60"/>
      <w:ind w:left="714"/>
      <w:contextualSpacing w:val="0"/>
    </w:pPr>
  </w:style>
  <w:style w:type="character" w:customStyle="1" w:styleId="BulletpointsZchn">
    <w:name w:val="Bulletpoints Zchn"/>
    <w:basedOn w:val="Absatz-Standardschriftart"/>
    <w:link w:val="Bulletpoints"/>
    <w:rsid w:val="00BA2B26"/>
  </w:style>
  <w:style w:type="paragraph" w:styleId="Listenabsatz">
    <w:name w:val="List Paragraph"/>
    <w:basedOn w:val="Standard"/>
    <w:uiPriority w:val="34"/>
    <w:qFormat/>
    <w:rsid w:val="00BA2B26"/>
    <w:pPr>
      <w:ind w:left="720"/>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uiPriority w:val="99"/>
    <w:unhideWhenUsed/>
    <w:rsid w:val="006D3C81"/>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6D3C81"/>
  </w:style>
  <w:style w:type="paragraph" w:styleId="Fuzeile">
    <w:name w:val="footer"/>
    <w:basedOn w:val="Standard"/>
    <w:link w:val="FuzeileZchn"/>
    <w:uiPriority w:val="99"/>
    <w:unhideWhenUsed/>
    <w:rsid w:val="006D3C81"/>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6D3C81"/>
  </w:style>
  <w:style w:type="paragraph" w:styleId="Sprechblasentext">
    <w:name w:val="Balloon Text"/>
    <w:basedOn w:val="Standard"/>
    <w:link w:val="SprechblasentextZchn"/>
    <w:uiPriority w:val="99"/>
    <w:semiHidden/>
    <w:unhideWhenUsed/>
    <w:rsid w:val="006D3C8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6D3C81"/>
    <w:rPr>
      <w:rFonts w:ascii="Tahoma" w:hAnsi="Tahoma" w:cs="Tahoma"/>
      <w:sz w:val="16"/>
      <w:szCs w:val="16"/>
    </w:rPr>
  </w:style>
  <w:style w:type="character" w:styleId="Hyperlink">
    <w:name w:val="Hyperlink"/>
    <w:basedOn w:val="Absatz-Standardschriftart"/>
    <w:uiPriority w:val="99"/>
    <w:unhideWhenUsed/>
    <w:rsid w:val="006D3C81"/>
    <w:rPr>
      <w:color w:val="000000" w:themeColor="hyperlink"/>
      <w:u w:val="single"/>
    </w:rPr>
  </w:style>
  <w:style w:type="character" w:styleId="Kommentarzeichen">
    <w:name w:val="annotation reference"/>
    <w:basedOn w:val="Absatz-Standardschriftart"/>
    <w:uiPriority w:val="99"/>
    <w:semiHidden/>
    <w:unhideWhenUsed/>
    <w:rsid w:val="00660D32"/>
    <w:rPr>
      <w:sz w:val="18"/>
      <w:szCs w:val="18"/>
    </w:rPr>
  </w:style>
  <w:style w:type="paragraph" w:styleId="Kommentartext">
    <w:name w:val="annotation text"/>
    <w:basedOn w:val="Standard"/>
    <w:link w:val="KommentartextZchn"/>
    <w:uiPriority w:val="99"/>
    <w:semiHidden/>
    <w:unhideWhenUsed/>
    <w:rsid w:val="00660D32"/>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660D32"/>
    <w:rPr>
      <w:sz w:val="24"/>
      <w:szCs w:val="24"/>
    </w:rPr>
  </w:style>
  <w:style w:type="paragraph" w:styleId="Kommentarthema">
    <w:name w:val="annotation subject"/>
    <w:basedOn w:val="Kommentartext"/>
    <w:next w:val="Kommentartext"/>
    <w:link w:val="KommentarthemaZchn"/>
    <w:uiPriority w:val="99"/>
    <w:semiHidden/>
    <w:unhideWhenUsed/>
    <w:rsid w:val="00660D32"/>
    <w:rPr>
      <w:b/>
      <w:bCs/>
      <w:sz w:val="20"/>
      <w:szCs w:val="20"/>
    </w:rPr>
  </w:style>
  <w:style w:type="character" w:customStyle="1" w:styleId="KommentarthemaZchn">
    <w:name w:val="Kommentarthema Zchn"/>
    <w:basedOn w:val="KommentartextZchn"/>
    <w:link w:val="Kommentarthema"/>
    <w:uiPriority w:val="99"/>
    <w:semiHidden/>
    <w:rsid w:val="00660D32"/>
    <w:rPr>
      <w:b/>
      <w:bCs/>
      <w:sz w:val="20"/>
      <w:szCs w:val="20"/>
    </w:rPr>
  </w:style>
  <w:style w:type="character" w:customStyle="1" w:styleId="NichtaufgelsteErwhnung1">
    <w:name w:val="Nicht aufgelöste Erwähnung1"/>
    <w:basedOn w:val="Absatz-Standardschriftart"/>
    <w:uiPriority w:val="99"/>
    <w:rsid w:val="00B53AD5"/>
    <w:rPr>
      <w:color w:val="605E5C"/>
      <w:shd w:val="clear" w:color="auto" w:fill="E1DFDD"/>
    </w:rPr>
  </w:style>
  <w:style w:type="character" w:styleId="NichtaufgelsteErwhnung">
    <w:name w:val="Unresolved Mention"/>
    <w:basedOn w:val="Absatz-Standardschriftart"/>
    <w:uiPriority w:val="99"/>
    <w:rsid w:val="00F14376"/>
    <w:rPr>
      <w:color w:val="605E5C"/>
      <w:shd w:val="clear" w:color="auto" w:fill="E1DFDD"/>
    </w:rPr>
  </w:style>
  <w:style w:type="paragraph" w:styleId="berarbeitung">
    <w:name w:val="Revision"/>
    <w:hidden/>
    <w:uiPriority w:val="99"/>
    <w:semiHidden/>
    <w:rsid w:val="00210081"/>
    <w:pPr>
      <w:spacing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3701">
      <w:bodyDiv w:val="1"/>
      <w:marLeft w:val="0"/>
      <w:marRight w:val="0"/>
      <w:marTop w:val="0"/>
      <w:marBottom w:val="0"/>
      <w:divBdr>
        <w:top w:val="none" w:sz="0" w:space="0" w:color="auto"/>
        <w:left w:val="none" w:sz="0" w:space="0" w:color="auto"/>
        <w:bottom w:val="none" w:sz="0" w:space="0" w:color="auto"/>
        <w:right w:val="none" w:sz="0" w:space="0" w:color="auto"/>
      </w:divBdr>
    </w:div>
    <w:div w:id="394620259">
      <w:bodyDiv w:val="1"/>
      <w:marLeft w:val="0"/>
      <w:marRight w:val="0"/>
      <w:marTop w:val="0"/>
      <w:marBottom w:val="0"/>
      <w:divBdr>
        <w:top w:val="none" w:sz="0" w:space="0" w:color="auto"/>
        <w:left w:val="none" w:sz="0" w:space="0" w:color="auto"/>
        <w:bottom w:val="none" w:sz="0" w:space="0" w:color="auto"/>
        <w:right w:val="none" w:sz="0" w:space="0" w:color="auto"/>
      </w:divBdr>
    </w:div>
    <w:div w:id="540557555">
      <w:bodyDiv w:val="1"/>
      <w:marLeft w:val="0"/>
      <w:marRight w:val="0"/>
      <w:marTop w:val="0"/>
      <w:marBottom w:val="0"/>
      <w:divBdr>
        <w:top w:val="none" w:sz="0" w:space="0" w:color="auto"/>
        <w:left w:val="none" w:sz="0" w:space="0" w:color="auto"/>
        <w:bottom w:val="none" w:sz="0" w:space="0" w:color="auto"/>
        <w:right w:val="none" w:sz="0" w:space="0" w:color="auto"/>
      </w:divBdr>
    </w:div>
    <w:div w:id="596406022">
      <w:bodyDiv w:val="1"/>
      <w:marLeft w:val="0"/>
      <w:marRight w:val="0"/>
      <w:marTop w:val="0"/>
      <w:marBottom w:val="0"/>
      <w:divBdr>
        <w:top w:val="none" w:sz="0" w:space="0" w:color="auto"/>
        <w:left w:val="none" w:sz="0" w:space="0" w:color="auto"/>
        <w:bottom w:val="none" w:sz="0" w:space="0" w:color="auto"/>
        <w:right w:val="none" w:sz="0" w:space="0" w:color="auto"/>
      </w:divBdr>
    </w:div>
    <w:div w:id="623656767">
      <w:bodyDiv w:val="1"/>
      <w:marLeft w:val="0"/>
      <w:marRight w:val="0"/>
      <w:marTop w:val="0"/>
      <w:marBottom w:val="0"/>
      <w:divBdr>
        <w:top w:val="none" w:sz="0" w:space="0" w:color="auto"/>
        <w:left w:val="none" w:sz="0" w:space="0" w:color="auto"/>
        <w:bottom w:val="none" w:sz="0" w:space="0" w:color="auto"/>
        <w:right w:val="none" w:sz="0" w:space="0" w:color="auto"/>
      </w:divBdr>
    </w:div>
    <w:div w:id="743533110">
      <w:bodyDiv w:val="1"/>
      <w:marLeft w:val="0"/>
      <w:marRight w:val="0"/>
      <w:marTop w:val="0"/>
      <w:marBottom w:val="0"/>
      <w:divBdr>
        <w:top w:val="none" w:sz="0" w:space="0" w:color="auto"/>
        <w:left w:val="none" w:sz="0" w:space="0" w:color="auto"/>
        <w:bottom w:val="none" w:sz="0" w:space="0" w:color="auto"/>
        <w:right w:val="none" w:sz="0" w:space="0" w:color="auto"/>
      </w:divBdr>
    </w:div>
    <w:div w:id="1479688976">
      <w:bodyDiv w:val="1"/>
      <w:marLeft w:val="0"/>
      <w:marRight w:val="0"/>
      <w:marTop w:val="0"/>
      <w:marBottom w:val="0"/>
      <w:divBdr>
        <w:top w:val="none" w:sz="0" w:space="0" w:color="auto"/>
        <w:left w:val="none" w:sz="0" w:space="0" w:color="auto"/>
        <w:bottom w:val="none" w:sz="0" w:space="0" w:color="auto"/>
        <w:right w:val="none" w:sz="0" w:space="0" w:color="auto"/>
      </w:divBdr>
    </w:div>
    <w:div w:id="1700886050">
      <w:bodyDiv w:val="1"/>
      <w:marLeft w:val="0"/>
      <w:marRight w:val="0"/>
      <w:marTop w:val="0"/>
      <w:marBottom w:val="0"/>
      <w:divBdr>
        <w:top w:val="none" w:sz="0" w:space="0" w:color="auto"/>
        <w:left w:val="none" w:sz="0" w:space="0" w:color="auto"/>
        <w:bottom w:val="none" w:sz="0" w:space="0" w:color="auto"/>
        <w:right w:val="none" w:sz="0" w:space="0" w:color="auto"/>
      </w:divBdr>
    </w:div>
    <w:div w:id="1945989854">
      <w:bodyDiv w:val="1"/>
      <w:marLeft w:val="0"/>
      <w:marRight w:val="0"/>
      <w:marTop w:val="0"/>
      <w:marBottom w:val="0"/>
      <w:divBdr>
        <w:top w:val="none" w:sz="0" w:space="0" w:color="auto"/>
        <w:left w:val="none" w:sz="0" w:space="0" w:color="auto"/>
        <w:bottom w:val="none" w:sz="0" w:space="0" w:color="auto"/>
        <w:right w:val="none" w:sz="0" w:space="0" w:color="auto"/>
      </w:divBdr>
    </w:div>
    <w:div w:id="2011060133">
      <w:bodyDiv w:val="1"/>
      <w:marLeft w:val="0"/>
      <w:marRight w:val="0"/>
      <w:marTop w:val="0"/>
      <w:marBottom w:val="0"/>
      <w:divBdr>
        <w:top w:val="none" w:sz="0" w:space="0" w:color="auto"/>
        <w:left w:val="none" w:sz="0" w:space="0" w:color="auto"/>
        <w:bottom w:val="none" w:sz="0" w:space="0" w:color="auto"/>
        <w:right w:val="none" w:sz="0" w:space="0" w:color="auto"/>
      </w:divBdr>
    </w:div>
    <w:div w:id="2042969852">
      <w:bodyDiv w:val="1"/>
      <w:marLeft w:val="0"/>
      <w:marRight w:val="0"/>
      <w:marTop w:val="0"/>
      <w:marBottom w:val="0"/>
      <w:divBdr>
        <w:top w:val="none" w:sz="0" w:space="0" w:color="auto"/>
        <w:left w:val="none" w:sz="0" w:space="0" w:color="auto"/>
        <w:bottom w:val="none" w:sz="0" w:space="0" w:color="auto"/>
        <w:right w:val="none" w:sz="0" w:space="0" w:color="auto"/>
      </w:divBdr>
    </w:div>
    <w:div w:id="21350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pla.de/gehaeusetechnik/product/alu-topline.html" TargetMode="External"/><Relationship Id="rId13" Type="http://schemas.openxmlformats.org/officeDocument/2006/relationships/hyperlink" Target="https://www.bopla.de/gehaeusetechnik/product/alu-toplin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pla.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pla.de" TargetMode="External"/><Relationship Id="rId4" Type="http://schemas.openxmlformats.org/officeDocument/2006/relationships/settings" Target="settings.xml"/><Relationship Id="rId9" Type="http://schemas.openxmlformats.org/officeDocument/2006/relationships/hyperlink" Target="https://www.bopla.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opl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Ira">
      <a:dk1>
        <a:srgbClr val="7F7F7F"/>
      </a:dk1>
      <a:lt1>
        <a:srgbClr val="FFFFFF"/>
      </a:lt1>
      <a:dk2>
        <a:srgbClr val="1F497D"/>
      </a:dk2>
      <a:lt2>
        <a:srgbClr val="FDEADA"/>
      </a:lt2>
      <a:accent1>
        <a:srgbClr val="F79646"/>
      </a:accent1>
      <a:accent2>
        <a:srgbClr val="C00000"/>
      </a:accent2>
      <a:accent3>
        <a:srgbClr val="9BBB59"/>
      </a:accent3>
      <a:accent4>
        <a:srgbClr val="8064A2"/>
      </a:accent4>
      <a:accent5>
        <a:srgbClr val="366092"/>
      </a:accent5>
      <a:accent6>
        <a:srgbClr val="002060"/>
      </a:accent6>
      <a:hlink>
        <a:srgbClr val="000000"/>
      </a:hlink>
      <a:folHlink>
        <a:srgbClr val="3660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1F04BC1-3759-4BAC-B045-A1DAAE6719A5}">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4933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Ifina</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Schroers</dc:creator>
  <cp:lastModifiedBy>Kristin Buschmeier</cp:lastModifiedBy>
  <cp:revision>3</cp:revision>
  <dcterms:created xsi:type="dcterms:W3CDTF">2022-05-02T14:19:00Z</dcterms:created>
  <dcterms:modified xsi:type="dcterms:W3CDTF">2022-05-19T12:43:00Z</dcterms:modified>
</cp:coreProperties>
</file>